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哈尔滨工业大学重庆研究院官方网站-</w:t>
      </w:r>
      <w:r>
        <w:rPr>
          <w:rFonts w:ascii="黑体" w:hAnsi="黑体" w:eastAsia="黑体" w:cs="黑体"/>
          <w:color w:val="auto"/>
          <w:sz w:val="32"/>
          <w:szCs w:val="32"/>
        </w:rPr>
        <w:t>-</w:t>
      </w:r>
    </w:p>
    <w:p>
      <w:pPr>
        <w:pStyle w:val="12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科研机构部分填写说明</w:t>
      </w:r>
    </w:p>
    <w:p>
      <w:pPr>
        <w:pStyle w:val="12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</w:p>
    <w:tbl>
      <w:tblPr>
        <w:tblStyle w:val="7"/>
        <w:tblpPr w:leftFromText="180" w:rightFromText="180" w:vertAnchor="page" w:horzAnchor="margin" w:tblpY="3046"/>
        <w:tblW w:w="86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1589"/>
        <w:gridCol w:w="6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研究中心名称</w:t>
            </w:r>
          </w:p>
        </w:tc>
        <w:tc>
          <w:tcPr>
            <w:tcW w:w="6126" w:type="dxa"/>
            <w:vAlign w:val="center"/>
          </w:tcPr>
          <w:p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先进特种电机系统中心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主要人员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团队负责人</w:t>
            </w:r>
          </w:p>
        </w:tc>
        <w:tc>
          <w:tcPr>
            <w:tcW w:w="6126" w:type="dxa"/>
          </w:tcPr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</w:rPr>
              <w:t>程远  教授/博导，国家海外高层次引进青年人才</w:t>
            </w:r>
          </w:p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drawing>
                <wp:inline distT="0" distB="0" distL="114300" distR="114300">
                  <wp:extent cx="756920" cy="1097915"/>
                  <wp:effectExtent l="0" t="0" r="5080" b="698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6" cy="109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首席科学家</w:t>
            </w:r>
          </w:p>
        </w:tc>
        <w:tc>
          <w:tcPr>
            <w:tcW w:w="6126" w:type="dxa"/>
          </w:tcPr>
          <w:p>
            <w:p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崔淑梅  教授/博导</w:t>
            </w:r>
          </w:p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drawing>
                <wp:inline distT="0" distB="0" distL="114300" distR="114300">
                  <wp:extent cx="747395" cy="1043305"/>
                  <wp:effectExtent l="0" t="0" r="14605" b="4445"/>
                  <wp:docPr id="8" name="图片 7" descr="微笑的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微笑的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17" cy="104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技术骨干</w:t>
            </w:r>
          </w:p>
        </w:tc>
        <w:tc>
          <w:tcPr>
            <w:tcW w:w="6126" w:type="dxa"/>
          </w:tcPr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  <w:color w:val="BFBFBF" w:themeColor="background1" w:themeShade="BF"/>
              </w:rPr>
              <w:t>填写说明：姓名+职称/职务</w:t>
            </w:r>
          </w:p>
          <w:p>
            <w:pPr>
              <w:rPr>
                <w:rFonts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补充以下人员</w:t>
            </w:r>
          </w:p>
          <w:p>
            <w:pPr>
              <w:rPr>
                <w:rFonts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杜博超   副教授</w:t>
            </w:r>
          </w:p>
          <w:p>
            <w:pPr>
              <w:rPr>
                <w:rFonts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赵天旭   博士后</w:t>
            </w:r>
          </w:p>
          <w:p>
            <w:pPr>
              <w:rPr>
                <w:rFonts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王小洪   高级工程师</w:t>
            </w:r>
          </w:p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孙勇     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0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研究中心简介</w:t>
            </w:r>
          </w:p>
        </w:tc>
        <w:tc>
          <w:tcPr>
            <w:tcW w:w="6126" w:type="dxa"/>
          </w:tcPr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  <w:color w:val="BFBFBF" w:themeColor="background1" w:themeShade="BF"/>
              </w:rPr>
              <w:t>填写说明：介绍研究中心人员情况/组织架构，硬件建设情况，获得知识产权、各级奖励，横纵向项目情况，科研平台建设、成果转移、产业孵化等情况。本项内容限3</w:t>
            </w:r>
            <w:r>
              <w:rPr>
                <w:rFonts w:ascii="黑体" w:hAnsi="黑体" w:eastAsia="黑体"/>
                <w:color w:val="BFBFBF" w:themeColor="background1" w:themeShade="BF"/>
              </w:rPr>
              <w:t>00</w:t>
            </w:r>
            <w:r>
              <w:rPr>
                <w:rFonts w:hint="eastAsia" w:ascii="黑体" w:hAnsi="黑体" w:eastAsia="黑体"/>
                <w:color w:val="BFBFBF" w:themeColor="background1" w:themeShade="BF"/>
              </w:rPr>
              <w:t>字，可辅以图片、表格说明。</w:t>
            </w:r>
          </w:p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</w:rPr>
              <w:t>中心规模30余人，由哈工大电机专业8位教授领衔，近五年承担国家级重点项目20余项，获得包括国家技术发明二等奖在内的省部级以上奖励7项。中心以先进特种电机系统研发和产业化为目标，立足团队在微特电机、复杂工况与极端环境特种电机、超高精度电机、新材料与新结构电机、高功率密度高效率控制器等领域技术优势，致力于新能源汽车、国防特种装备、高端制造等国家重大需求，以及重庆地区产业化发展需求，深度服务重庆及区域企业，共同承担重大科研项目，加速推进先进特种电机产品熟化转化，培养企业急缺高级工程技术人才，为重庆乃至西部地区工业创新发展提供强力支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研究内容</w:t>
            </w:r>
          </w:p>
        </w:tc>
        <w:tc>
          <w:tcPr>
            <w:tcW w:w="6126" w:type="dxa"/>
          </w:tcPr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  <w:color w:val="BFBFBF" w:themeColor="background1" w:themeShade="BF"/>
              </w:rPr>
              <w:t>填写说明：列出研究中心的研究方向，3</w:t>
            </w:r>
            <w:r>
              <w:rPr>
                <w:rFonts w:ascii="黑体" w:hAnsi="黑体" w:eastAsia="黑体"/>
                <w:color w:val="BFBFBF" w:themeColor="background1" w:themeShade="BF"/>
              </w:rPr>
              <w:t>-5</w:t>
            </w:r>
            <w:r>
              <w:rPr>
                <w:rFonts w:hint="eastAsia" w:ascii="黑体" w:hAnsi="黑体" w:eastAsia="黑体"/>
                <w:color w:val="BFBFBF" w:themeColor="background1" w:themeShade="BF"/>
              </w:rPr>
              <w:t>点为宜。</w:t>
            </w:r>
          </w:p>
          <w:p>
            <w:pPr>
              <w:numPr>
                <w:ilvl w:val="0"/>
                <w:numId w:val="1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新能源车辆电机系统产品开发与技术实现</w:t>
            </w:r>
          </w:p>
          <w:p>
            <w:pPr>
              <w:numPr>
                <w:ilvl w:val="0"/>
                <w:numId w:val="1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特种车辆轮毂电机系统产品开发与技术实现</w:t>
            </w:r>
          </w:p>
          <w:p>
            <w:pPr>
              <w:numPr>
                <w:ilvl w:val="0"/>
                <w:numId w:val="1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直线/平面电机系统产品开发与技术实现</w:t>
            </w:r>
          </w:p>
          <w:p>
            <w:pPr>
              <w:numPr>
                <w:ilvl w:val="0"/>
                <w:numId w:val="1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高速特种电机系统产品开发与技术实现</w:t>
            </w:r>
          </w:p>
          <w:p>
            <w:pPr>
              <w:numPr>
                <w:ilvl w:val="0"/>
                <w:numId w:val="1"/>
              </w:num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</w:rPr>
              <w:t>新能源光伏发电产品开发与技术实现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2573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成果及产品展示</w:t>
            </w:r>
          </w:p>
        </w:tc>
        <w:tc>
          <w:tcPr>
            <w:tcW w:w="6126" w:type="dxa"/>
          </w:tcPr>
          <w:p>
            <w:pPr>
              <w:rPr>
                <w:rFonts w:ascii="黑体" w:hAnsi="黑体" w:eastAsia="黑体"/>
                <w:color w:val="BFBFBF" w:themeColor="background1" w:themeShade="BF"/>
              </w:rPr>
            </w:pPr>
            <w:r>
              <w:rPr>
                <w:rFonts w:hint="eastAsia" w:ascii="黑体" w:hAnsi="黑体" w:eastAsia="黑体"/>
                <w:color w:val="BFBFBF" w:themeColor="background1" w:themeShade="BF"/>
              </w:rPr>
              <w:t>填写说明：列出研究中心取得的3</w:t>
            </w:r>
            <w:r>
              <w:rPr>
                <w:rFonts w:ascii="黑体" w:hAnsi="黑体" w:eastAsia="黑体"/>
                <w:color w:val="BFBFBF" w:themeColor="background1" w:themeShade="BF"/>
              </w:rPr>
              <w:t>-5</w:t>
            </w:r>
            <w:r>
              <w:rPr>
                <w:rFonts w:hint="eastAsia" w:ascii="黑体" w:hAnsi="黑体" w:eastAsia="黑体"/>
                <w:color w:val="BFBFBF" w:themeColor="background1" w:themeShade="BF"/>
              </w:rPr>
              <w:t>项研究成果，产品请用图片展示，可辅以简短说明</w:t>
            </w: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新能源汽车驱动电机：围绕新能源汽车各类型</w:t>
            </w:r>
            <w:bookmarkStart w:id="0" w:name="_GoBack"/>
            <w:bookmarkEnd w:id="0"/>
            <w:r>
              <w:rPr>
                <w:rFonts w:hint="eastAsia" w:ascii="黑体" w:hAnsi="黑体" w:eastAsia="黑体"/>
              </w:rPr>
              <w:t>高性能驱动电机开展持续研究与产业化开发工作。主要方向包括SiC驱动高压高频电机及绝缘关键问题、高功率密度与低成本少稀土永磁同步电机、高性价比异步电机、轴向磁通电机等。其中，永磁同步电机已完成第一代产品研发，最高转速14000rpm，峰值功率160kW。</w:t>
            </w:r>
          </w:p>
          <w:p>
            <w:pPr>
              <w:spacing w:line="24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产品实物图：</w:t>
            </w:r>
          </w:p>
          <w:p>
            <w:pPr>
              <w:numPr>
                <w:ilvl w:val="255"/>
                <w:numId w:val="0"/>
              </w:numPr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</w:rPr>
              <w:drawing>
                <wp:inline distT="0" distB="0" distL="0" distR="0">
                  <wp:extent cx="3286760" cy="1478915"/>
                  <wp:effectExtent l="0" t="0" r="889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532" cy="149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255"/>
                <w:numId w:val="0"/>
              </w:numPr>
              <w:rPr>
                <w:rFonts w:ascii="黑体" w:hAnsi="黑体" w:eastAsia="黑体"/>
              </w:rPr>
            </w:pP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光伏优化器：</w:t>
            </w:r>
            <w:r>
              <w:rPr>
                <w:rFonts w:ascii="黑体" w:hAnsi="黑体" w:eastAsia="黑体"/>
              </w:rPr>
              <w:t>适用于所有类型</w:t>
            </w:r>
            <w:r>
              <w:rPr>
                <w:rFonts w:hint="eastAsia" w:ascii="黑体" w:hAnsi="黑体" w:eastAsia="黑体"/>
              </w:rPr>
              <w:t>太阳能光伏</w:t>
            </w:r>
            <w:r>
              <w:rPr>
                <w:rFonts w:ascii="黑体" w:hAnsi="黑体" w:eastAsia="黑体"/>
              </w:rPr>
              <w:t>组件的MPPT外挂式智能优化器，</w:t>
            </w:r>
            <w:r>
              <w:rPr>
                <w:rFonts w:hint="eastAsia" w:ascii="黑体" w:hAnsi="黑体" w:eastAsia="黑体"/>
              </w:rPr>
              <w:t>具备功率</w:t>
            </w:r>
            <w:r>
              <w:rPr>
                <w:rFonts w:ascii="黑体" w:hAnsi="黑体" w:eastAsia="黑体"/>
              </w:rPr>
              <w:t>优化</w:t>
            </w:r>
            <w:r>
              <w:rPr>
                <w:rFonts w:hint="eastAsia" w:ascii="黑体" w:hAnsi="黑体" w:eastAsia="黑体"/>
              </w:rPr>
              <w:t>、</w:t>
            </w:r>
            <w:r>
              <w:rPr>
                <w:rFonts w:ascii="黑体" w:hAnsi="黑体" w:eastAsia="黑体"/>
              </w:rPr>
              <w:t>限压长串</w:t>
            </w:r>
            <w:r>
              <w:rPr>
                <w:rFonts w:hint="eastAsia" w:ascii="黑体" w:hAnsi="黑体" w:eastAsia="黑体"/>
              </w:rPr>
              <w:t>、</w:t>
            </w:r>
            <w:r>
              <w:rPr>
                <w:rFonts w:ascii="黑体" w:hAnsi="黑体" w:eastAsia="黑体"/>
              </w:rPr>
              <w:t>无热斑</w:t>
            </w:r>
            <w:r>
              <w:rPr>
                <w:rFonts w:hint="eastAsia" w:ascii="黑体" w:hAnsi="黑体" w:eastAsia="黑体"/>
              </w:rPr>
              <w:t>等功能</w:t>
            </w:r>
            <w:r>
              <w:rPr>
                <w:rFonts w:ascii="黑体" w:hAnsi="黑体" w:eastAsia="黑体"/>
              </w:rPr>
              <w:t>，消除电流失配，挽回发电损失，降低度电成本，提升系统可靠性</w:t>
            </w:r>
            <w:r>
              <w:rPr>
                <w:rFonts w:hint="eastAsia" w:ascii="黑体" w:hAnsi="黑体" w:eastAsia="黑体"/>
              </w:rPr>
              <w:t>并</w:t>
            </w:r>
            <w:r>
              <w:rPr>
                <w:rFonts w:ascii="黑体" w:hAnsi="黑体" w:eastAsia="黑体"/>
              </w:rPr>
              <w:t>延长组件寿命。</w:t>
            </w:r>
            <w:r>
              <w:rPr>
                <w:rFonts w:hint="eastAsia" w:ascii="黑体" w:hAnsi="黑体" w:eastAsia="黑体"/>
              </w:rPr>
              <w:t>已研发6</w:t>
            </w:r>
            <w:r>
              <w:rPr>
                <w:rFonts w:ascii="黑体" w:hAnsi="黑体" w:eastAsia="黑体"/>
              </w:rPr>
              <w:t>50</w:t>
            </w:r>
            <w:r>
              <w:rPr>
                <w:rFonts w:hint="eastAsia" w:ascii="黑体" w:hAnsi="黑体" w:eastAsia="黑体"/>
              </w:rPr>
              <w:t>W第一代光伏组件产品并成功通过测试认证，具备量产条件。</w:t>
            </w:r>
          </w:p>
          <w:p>
            <w:pPr>
              <w:spacing w:line="248" w:lineRule="auto"/>
              <w:rPr>
                <w:rFonts w:ascii="宋体" w:hAnsi="宋体" w:eastAsia="宋体" w:cs="宋体"/>
                <w:spacing w:val="6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产品参数：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19"/>
              <w:gridCol w:w="30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指标名称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参数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输入电压范围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1</w:t>
                  </w:r>
                  <w:r>
                    <w:rPr>
                      <w:rFonts w:ascii="黑体" w:hAnsi="黑体" w:eastAsia="黑体"/>
                    </w:rPr>
                    <w:t>0-85</w:t>
                  </w:r>
                  <w:r>
                    <w:rPr>
                      <w:rFonts w:hint="eastAsia" w:ascii="黑体" w:hAnsi="黑体" w:eastAsia="黑体"/>
                    </w:rPr>
                    <w:t>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输出电压范围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8</w:t>
                  </w:r>
                  <w:r>
                    <w:rPr>
                      <w:rFonts w:ascii="黑体" w:hAnsi="黑体" w:eastAsia="黑体"/>
                    </w:rPr>
                    <w:t>-80</w:t>
                  </w:r>
                  <w:r>
                    <w:rPr>
                      <w:rFonts w:hint="eastAsia" w:ascii="黑体" w:hAnsi="黑体" w:eastAsia="黑体"/>
                    </w:rPr>
                    <w:t>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额定最大功率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6</w:t>
                  </w:r>
                  <w:r>
                    <w:rPr>
                      <w:rFonts w:ascii="黑体" w:hAnsi="黑体" w:eastAsia="黑体"/>
                    </w:rPr>
                    <w:t>50</w:t>
                  </w:r>
                  <w:r>
                    <w:rPr>
                      <w:rFonts w:hint="eastAsia" w:ascii="黑体" w:hAnsi="黑体" w:eastAsia="黑体"/>
                    </w:rPr>
                    <w:t>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最大（输出/输入）电流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1</w:t>
                  </w:r>
                  <w:r>
                    <w:rPr>
                      <w:rFonts w:ascii="黑体" w:hAnsi="黑体" w:eastAsia="黑体"/>
                    </w:rPr>
                    <w:t>5</w:t>
                  </w:r>
                  <w:r>
                    <w:rPr>
                      <w:rFonts w:hint="eastAsia" w:ascii="黑体" w:hAnsi="黑体" w:eastAsia="黑体"/>
                    </w:rPr>
                    <w:t>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输出过压保护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9</w:t>
                  </w:r>
                  <w:r>
                    <w:rPr>
                      <w:rFonts w:ascii="黑体" w:hAnsi="黑体" w:eastAsia="黑体"/>
                    </w:rPr>
                    <w:t>0</w:t>
                  </w:r>
                  <w:r>
                    <w:rPr>
                      <w:rFonts w:hint="eastAsia" w:ascii="黑体" w:hAnsi="黑体" w:eastAsia="黑体"/>
                    </w:rPr>
                    <w:t>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0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输出过流保护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1</w:t>
                  </w:r>
                  <w:r>
                    <w:rPr>
                      <w:rFonts w:ascii="黑体" w:hAnsi="黑体" w:eastAsia="黑体"/>
                    </w:rPr>
                    <w:t>6</w:t>
                  </w:r>
                  <w:r>
                    <w:rPr>
                      <w:rFonts w:hint="eastAsia" w:ascii="黑体" w:hAnsi="黑体" w:eastAsia="黑体"/>
                    </w:rPr>
                    <w:t>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转换效率（峰值）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9</w:t>
                  </w:r>
                  <w:r>
                    <w:rPr>
                      <w:rFonts w:ascii="黑体" w:hAnsi="黑体" w:eastAsia="黑体"/>
                    </w:rPr>
                    <w:t>7%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追踪效率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9</w:t>
                  </w:r>
                  <w:r>
                    <w:rPr>
                      <w:rFonts w:ascii="黑体" w:hAnsi="黑体" w:eastAsia="黑体"/>
                    </w:rPr>
                    <w:t>9.6%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工作温度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-</w:t>
                  </w:r>
                  <w:r>
                    <w:rPr>
                      <w:rFonts w:ascii="黑体" w:hAnsi="黑体" w:eastAsia="黑体"/>
                    </w:rPr>
                    <w:t>45</w:t>
                  </w:r>
                  <w:r>
                    <w:rPr>
                      <w:rFonts w:hint="eastAsia" w:ascii="黑体" w:hAnsi="黑体" w:eastAsia="黑体"/>
                    </w:rPr>
                    <w:t>～+</w:t>
                  </w:r>
                  <w:r>
                    <w:rPr>
                      <w:rFonts w:ascii="黑体" w:hAnsi="黑体" w:eastAsia="黑体"/>
                    </w:rPr>
                    <w:t>85</w:t>
                  </w:r>
                  <w:r>
                    <w:rPr>
                      <w:rFonts w:hint="eastAsia" w:ascii="黑体" w:hAnsi="黑体" w:eastAsia="黑体"/>
                    </w:rPr>
                    <w:t>摄氏度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" w:hRule="atLeast"/>
              </w:trPr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设计寿命</w:t>
                  </w:r>
                </w:p>
              </w:tc>
              <w:tc>
                <w:tcPr>
                  <w:tcW w:w="3607" w:type="dxa"/>
                </w:tcPr>
                <w:p>
                  <w:pPr>
                    <w:spacing w:line="248" w:lineRule="auto"/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</w:rPr>
                    <w:t>3</w:t>
                  </w:r>
                  <w:r>
                    <w:rPr>
                      <w:rFonts w:ascii="黑体" w:hAnsi="黑体" w:eastAsia="黑体"/>
                    </w:rPr>
                    <w:t>0</w:t>
                  </w:r>
                  <w:r>
                    <w:rPr>
                      <w:rFonts w:hint="eastAsia" w:ascii="黑体" w:hAnsi="黑体" w:eastAsia="黑体"/>
                    </w:rPr>
                    <w:t>年</w:t>
                  </w:r>
                </w:p>
              </w:tc>
            </w:tr>
          </w:tbl>
          <w:p>
            <w:pPr>
              <w:spacing w:line="248" w:lineRule="auto"/>
              <w:rPr>
                <w:rFonts w:ascii="黑体" w:hAnsi="黑体" w:eastAsia="黑体"/>
              </w:rPr>
            </w:pPr>
          </w:p>
          <w:p>
            <w:pPr>
              <w:spacing w:line="24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产品实物图：</w:t>
            </w:r>
          </w:p>
          <w:p>
            <w:pPr>
              <w:rPr>
                <w:rFonts w:ascii="黑体" w:hAnsi="黑体" w:eastAsia="黑体"/>
              </w:rPr>
            </w:pPr>
            <w:commentRangeStart w:id="0"/>
            <w:r>
              <w:rPr>
                <w:sz w:val="24"/>
                <w:szCs w:val="24"/>
              </w:rPr>
              <w:drawing>
                <wp:inline distT="0" distB="0" distL="0" distR="0">
                  <wp:extent cx="3863975" cy="2548255"/>
                  <wp:effectExtent l="0" t="0" r="3175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21" cy="25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0"/>
            <w:r>
              <w:rPr>
                <w:rStyle w:val="9"/>
              </w:rPr>
              <w:commentReference w:id="0"/>
            </w: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</w:rPr>
              <w:t>SiC电机控制器</w:t>
            </w:r>
            <w:r>
              <w:rPr>
                <w:rFonts w:hint="eastAsia" w:ascii="黑体" w:hAnsi="黑体" w:eastAsia="黑体"/>
              </w:rPr>
              <w:t>：采用先进的第三代宽禁半导体碳化硅技术，具有高开关频率，高效率，高功率密度等突出优点，已成为下一代电动汽车驱动电机的主流控制器。中心现已开发出1</w:t>
            </w:r>
            <w:r>
              <w:rPr>
                <w:rFonts w:ascii="黑体" w:hAnsi="黑体" w:eastAsia="黑体"/>
              </w:rPr>
              <w:t>10</w:t>
            </w:r>
            <w:r>
              <w:rPr>
                <w:rFonts w:hint="eastAsia" w:ascii="黑体" w:hAnsi="黑体" w:eastAsia="黑体"/>
              </w:rPr>
              <w:t>kW，最高效率9</w:t>
            </w:r>
            <w:r>
              <w:rPr>
                <w:rFonts w:ascii="黑体" w:hAnsi="黑体" w:eastAsia="黑体"/>
              </w:rPr>
              <w:t>9.2%</w:t>
            </w:r>
            <w:r>
              <w:rPr>
                <w:rFonts w:hint="eastAsia" w:ascii="黑体" w:hAnsi="黑体" w:eastAsia="黑体"/>
              </w:rPr>
              <w:t>的SiC控制器，并完成台架及装车测试。</w:t>
            </w:r>
          </w:p>
          <w:p>
            <w:pPr>
              <w:spacing w:line="24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产品实物图：</w:t>
            </w:r>
          </w:p>
          <w:p>
            <w:pPr>
              <w:rPr>
                <w:rFonts w:ascii="宋体" w:hAnsi="宋体" w:eastAsia="宋体" w:cs="宋体"/>
                <w:spacing w:val="8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drawing>
                <wp:inline distT="0" distB="0" distL="0" distR="0">
                  <wp:extent cx="3437255" cy="2763520"/>
                  <wp:effectExtent l="0" t="0" r="10795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008" cy="281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spacing w:val="8"/>
                <w:sz w:val="24"/>
                <w:szCs w:val="24"/>
              </w:rPr>
            </w:pP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无人机电调：无人机动力系统核心驱动部件，控制电机和桨叶高效平稳运行。中心开发出额定2kW/65</w:t>
            </w:r>
            <w:r>
              <w:rPr>
                <w:rFonts w:ascii="黑体" w:hAnsi="黑体" w:eastAsia="黑体"/>
              </w:rPr>
              <w:t>k</w:t>
            </w:r>
            <w:r>
              <w:rPr>
                <w:rFonts w:hint="eastAsia" w:ascii="黑体" w:hAnsi="黑体" w:eastAsia="黑体"/>
              </w:rPr>
              <w:t>V/2700</w:t>
            </w:r>
            <w:r>
              <w:rPr>
                <w:rFonts w:ascii="黑体" w:hAnsi="黑体" w:eastAsia="黑体"/>
              </w:rPr>
              <w:t>rpm</w:t>
            </w:r>
            <w:r>
              <w:rPr>
                <w:rFonts w:hint="eastAsia" w:ascii="黑体" w:hAnsi="黑体" w:eastAsia="黑体"/>
              </w:rPr>
              <w:t>的植保无人机电调，带有隔离输出，CAN通信功能，同时具有体积小，功率密度高，可靠性高，噪声低，电磁辐射低，防水性高等优点。</w:t>
            </w:r>
          </w:p>
          <w:p>
            <w:pPr>
              <w:numPr>
                <w:ilvl w:val="255"/>
                <w:numId w:val="0"/>
              </w:numPr>
              <w:rPr>
                <w:rFonts w:ascii="黑体" w:hAnsi="黑体" w:eastAsia="黑体"/>
              </w:rPr>
            </w:pP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单轨吊电驱系统：为井下单轨吊设备提供完整的电驱动系统，实现特种工况（多尘/高温等）下的设备整体持续稳定运行。已完成第一轮系统研发，最大牵引力1</w:t>
            </w:r>
            <w:r>
              <w:rPr>
                <w:rFonts w:ascii="黑体" w:hAnsi="黑体" w:eastAsia="黑体"/>
              </w:rPr>
              <w:t>50</w:t>
            </w:r>
            <w:r>
              <w:rPr>
                <w:rFonts w:hint="eastAsia" w:ascii="黑体" w:hAnsi="黑体" w:eastAsia="黑体"/>
              </w:rPr>
              <w:t>k</w:t>
            </w:r>
            <w:r>
              <w:rPr>
                <w:rFonts w:ascii="黑体" w:hAnsi="黑体" w:eastAsia="黑体"/>
              </w:rPr>
              <w:t>N</w:t>
            </w:r>
            <w:r>
              <w:rPr>
                <w:rFonts w:hint="eastAsia" w:ascii="黑体" w:hAnsi="黑体" w:eastAsia="黑体"/>
              </w:rPr>
              <w:t>，具有功率密度高、运行平稳、噪声低等优点。</w:t>
            </w:r>
          </w:p>
          <w:p>
            <w:pPr>
              <w:spacing w:line="24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产品实物图：</w:t>
            </w:r>
          </w:p>
          <w:p>
            <w:pPr>
              <w:numPr>
                <w:ilvl w:val="255"/>
                <w:numId w:val="0"/>
              </w:numPr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</w:rPr>
              <w:drawing>
                <wp:inline distT="0" distB="0" distL="0" distR="0">
                  <wp:extent cx="1929765" cy="2512060"/>
                  <wp:effectExtent l="0" t="0" r="2540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9765" cy="25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2"/>
              </w:tabs>
              <w:rPr>
                <w:rFonts w:ascii="黑体" w:hAnsi="黑体" w:eastAsia="黑体"/>
              </w:rPr>
            </w:pPr>
          </w:p>
        </w:tc>
      </w:tr>
    </w:tbl>
    <w:p>
      <w:pPr>
        <w:pStyle w:val="12"/>
        <w:spacing w:line="580" w:lineRule="exact"/>
        <w:jc w:val="center"/>
        <w:rPr>
          <w:rFonts w:ascii="黑体" w:hAnsi="黑体" w:eastAsia="黑体" w:cs="黑体"/>
          <w:color w:val="auto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CHENG Yuan" w:date="2023-02-19T10:05:00Z" w:initials="">
    <w:p w14:paraId="154D3B46">
      <w:pPr>
        <w:pStyle w:val="2"/>
      </w:pPr>
      <w:r>
        <w:rPr>
          <w:rFonts w:hint="eastAsia"/>
        </w:rPr>
        <w:t>再补充一张配置光伏板的实物图。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54D3B4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??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8BCDA8"/>
    <w:multiLevelType w:val="singleLevel"/>
    <w:tmpl w:val="8B8BCDA8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1">
    <w:nsid w:val="F3702C01"/>
    <w:multiLevelType w:val="singleLevel"/>
    <w:tmpl w:val="F3702C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HENG Yuan">
    <w15:presenceInfo w15:providerId="None" w15:userId="CHENG Yu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zYTNkODg5OWQzNDg2MTQxNDQ5MWVmOWI0ZWQ5NzEifQ=="/>
    <w:docVar w:name="KSO_WPS_MARK_KEY" w:val="8a81d512-413e-4d18-ba4d-e9ce639d2fa3"/>
  </w:docVars>
  <w:rsids>
    <w:rsidRoot w:val="00516A37"/>
    <w:rsid w:val="00072BCF"/>
    <w:rsid w:val="00131A2D"/>
    <w:rsid w:val="00191018"/>
    <w:rsid w:val="001F3A19"/>
    <w:rsid w:val="002236A8"/>
    <w:rsid w:val="00232769"/>
    <w:rsid w:val="002B1F58"/>
    <w:rsid w:val="002B2390"/>
    <w:rsid w:val="002D328C"/>
    <w:rsid w:val="00434800"/>
    <w:rsid w:val="004550F7"/>
    <w:rsid w:val="004B4065"/>
    <w:rsid w:val="00516A37"/>
    <w:rsid w:val="005D6310"/>
    <w:rsid w:val="006132AE"/>
    <w:rsid w:val="00627C1B"/>
    <w:rsid w:val="00705515"/>
    <w:rsid w:val="00733254"/>
    <w:rsid w:val="00762E16"/>
    <w:rsid w:val="00892F5C"/>
    <w:rsid w:val="008B2D43"/>
    <w:rsid w:val="00910AE2"/>
    <w:rsid w:val="00A1737B"/>
    <w:rsid w:val="00A24249"/>
    <w:rsid w:val="00A7641A"/>
    <w:rsid w:val="00AF69CD"/>
    <w:rsid w:val="00B10259"/>
    <w:rsid w:val="00B12CD8"/>
    <w:rsid w:val="00B3774C"/>
    <w:rsid w:val="00B4542B"/>
    <w:rsid w:val="00B82964"/>
    <w:rsid w:val="00BD2994"/>
    <w:rsid w:val="00BE4F0A"/>
    <w:rsid w:val="00C100FC"/>
    <w:rsid w:val="00C379CB"/>
    <w:rsid w:val="00CA58B2"/>
    <w:rsid w:val="00DD4045"/>
    <w:rsid w:val="00E67F05"/>
    <w:rsid w:val="00EC6671"/>
    <w:rsid w:val="00EF003C"/>
    <w:rsid w:val="00F7274C"/>
    <w:rsid w:val="032561C6"/>
    <w:rsid w:val="0E255FCA"/>
    <w:rsid w:val="123344B4"/>
    <w:rsid w:val="16506AAD"/>
    <w:rsid w:val="277B3917"/>
    <w:rsid w:val="50A53155"/>
    <w:rsid w:val="61124017"/>
    <w:rsid w:val="663F4FF6"/>
    <w:rsid w:val="76DF3F76"/>
    <w:rsid w:val="7EF8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四号正文"/>
    <w:basedOn w:val="1"/>
    <w:qFormat/>
    <w:uiPriority w:val="0"/>
    <w:pPr>
      <w:spacing w:line="360" w:lineRule="auto"/>
    </w:pPr>
    <w:rPr>
      <w:rFonts w:ascii="??" w:hAnsi="??" w:eastAsia="宋体" w:cs="Times New Roman"/>
      <w:color w:val="000000"/>
      <w:kern w:val="0"/>
      <w:sz w:val="28"/>
      <w:szCs w:val="21"/>
    </w:rPr>
  </w:style>
  <w:style w:type="paragraph" w:customStyle="1" w:styleId="13">
    <w:name w:val="修订1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批注文字 字符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5"/>
    <w:semiHidden/>
    <w:qFormat/>
    <w:uiPriority w:val="99"/>
    <w:rPr>
      <w:b/>
      <w:bCs/>
      <w:kern w:val="2"/>
      <w:sz w:val="21"/>
      <w:szCs w:val="22"/>
    </w:rPr>
  </w:style>
  <w:style w:type="paragraph" w:customStyle="1" w:styleId="16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1441</Words>
  <Characters>1549</Characters>
  <Lines>47</Lines>
  <Paragraphs>39</Paragraphs>
  <TotalTime>14</TotalTime>
  <ScaleCrop>false</ScaleCrop>
  <LinksUpToDate>false</LinksUpToDate>
  <CharactersWithSpaces>1567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2023-02-16T09:43:00Z</dcterms:created>
  <dc:creator>DENG MEGAN</dc:creator>
  <cp:lastModifiedBy>liuchang</cp:lastModifiedBy>
  <dcterms:modified xsi:type="dcterms:W3CDTF">2023-02-20T01:31:35Z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414D8D485ACD40DFB6CA67F5AE724CC0</vt:lpwstr>
  </property>
</Properties>
</file>