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color w:val="auto"/>
          <w:sz w:val="24"/>
          <w:highlight w:val="none"/>
        </w:rPr>
      </w:pPr>
    </w:p>
    <w:p>
      <w:pPr>
        <w:jc w:val="center"/>
        <w:rPr>
          <w:b/>
          <w:bCs/>
          <w:color w:val="auto"/>
          <w:highlight w:val="none"/>
        </w:rPr>
      </w:pPr>
    </w:p>
    <w:p>
      <w:pPr>
        <w:jc w:val="center"/>
        <w:rPr>
          <w:b/>
          <w:bCs/>
          <w:color w:val="auto"/>
          <w:sz w:val="32"/>
          <w:highlight w:val="none"/>
        </w:rPr>
      </w:pPr>
    </w:p>
    <w:p>
      <w:pPr>
        <w:rPr>
          <w:b/>
          <w:bCs/>
          <w:color w:val="auto"/>
          <w:spacing w:val="26"/>
          <w:sz w:val="72"/>
          <w:szCs w:val="72"/>
          <w:highlight w:val="none"/>
        </w:rPr>
      </w:pPr>
    </w:p>
    <w:p>
      <w:pPr>
        <w:jc w:val="center"/>
        <w:rPr>
          <w:b/>
          <w:bCs/>
          <w:color w:val="auto"/>
          <w:spacing w:val="26"/>
          <w:sz w:val="84"/>
          <w:szCs w:val="84"/>
          <w:highlight w:val="none"/>
        </w:rPr>
      </w:pPr>
      <w:r>
        <w:rPr>
          <w:b/>
          <w:bCs/>
          <w:color w:val="auto"/>
          <w:spacing w:val="26"/>
          <w:sz w:val="84"/>
          <w:szCs w:val="84"/>
          <w:highlight w:val="none"/>
        </w:rPr>
        <w:t xml:space="preserve"> </w:t>
      </w:r>
      <w:r>
        <w:rPr>
          <w:b/>
          <w:color w:val="auto"/>
          <w:sz w:val="84"/>
          <w:szCs w:val="84"/>
          <w:highlight w:val="none"/>
        </w:rPr>
        <w:t>评 比 文 件</w:t>
      </w:r>
    </w:p>
    <w:p>
      <w:pPr>
        <w:jc w:val="center"/>
        <w:rPr>
          <w:b/>
          <w:bCs/>
          <w:color w:val="auto"/>
          <w:sz w:val="32"/>
          <w:highlight w:val="none"/>
        </w:rPr>
      </w:pPr>
    </w:p>
    <w:p>
      <w:pPr>
        <w:jc w:val="center"/>
        <w:rPr>
          <w:b/>
          <w:bCs/>
          <w:color w:val="auto"/>
          <w:sz w:val="72"/>
          <w:highlight w:val="none"/>
        </w:rPr>
      </w:pPr>
    </w:p>
    <w:p>
      <w:pPr>
        <w:jc w:val="center"/>
        <w:rPr>
          <w:b/>
          <w:bCs/>
          <w:color w:val="auto"/>
          <w:sz w:val="72"/>
          <w:highlight w:val="none"/>
        </w:rPr>
      </w:pPr>
    </w:p>
    <w:p>
      <w:pPr>
        <w:jc w:val="center"/>
        <w:rPr>
          <w:b/>
          <w:bCs/>
          <w:color w:val="auto"/>
          <w:sz w:val="72"/>
          <w:highlight w:val="none"/>
        </w:rPr>
      </w:pPr>
    </w:p>
    <w:p>
      <w:pPr>
        <w:adjustRightInd w:val="0"/>
        <w:snapToGrid w:val="0"/>
        <w:spacing w:line="360" w:lineRule="auto"/>
        <w:ind w:firstLine="2400" w:firstLineChars="800"/>
        <w:rPr>
          <w:color w:val="auto"/>
          <w:sz w:val="30"/>
          <w:szCs w:val="30"/>
          <w:highlight w:val="none"/>
        </w:rPr>
      </w:pPr>
      <w:r>
        <w:rPr>
          <w:color w:val="auto"/>
          <w:sz w:val="30"/>
          <w:szCs w:val="30"/>
          <w:highlight w:val="none"/>
        </w:rPr>
        <w:t>项目编号：SDZB-2</w:t>
      </w:r>
      <w:r>
        <w:rPr>
          <w:rFonts w:hint="eastAsia"/>
          <w:color w:val="auto"/>
          <w:sz w:val="30"/>
          <w:szCs w:val="30"/>
          <w:highlight w:val="none"/>
          <w:lang w:val="en-US" w:eastAsia="zh-CN"/>
        </w:rPr>
        <w:t>3</w:t>
      </w:r>
      <w:r>
        <w:rPr>
          <w:color w:val="auto"/>
          <w:sz w:val="30"/>
          <w:szCs w:val="30"/>
          <w:highlight w:val="none"/>
        </w:rPr>
        <w:t>-</w:t>
      </w:r>
      <w:r>
        <w:rPr>
          <w:rFonts w:hint="eastAsia"/>
          <w:color w:val="auto"/>
          <w:sz w:val="30"/>
          <w:szCs w:val="30"/>
          <w:highlight w:val="none"/>
          <w:lang w:val="en-US" w:eastAsia="zh-CN"/>
        </w:rPr>
        <w:t>085</w:t>
      </w:r>
      <w:r>
        <w:rPr>
          <w:color w:val="auto"/>
          <w:sz w:val="30"/>
          <w:szCs w:val="30"/>
          <w:highlight w:val="none"/>
        </w:rPr>
        <w:t>W</w:t>
      </w:r>
    </w:p>
    <w:p>
      <w:pPr>
        <w:adjustRightInd w:val="0"/>
        <w:snapToGrid w:val="0"/>
        <w:spacing w:line="360" w:lineRule="auto"/>
        <w:ind w:left="3886" w:leftChars="1136" w:hanging="1500" w:hangingChars="500"/>
        <w:rPr>
          <w:rFonts w:hint="eastAsia"/>
          <w:color w:val="auto"/>
          <w:sz w:val="30"/>
          <w:szCs w:val="30"/>
          <w:highlight w:val="none"/>
          <w:lang w:eastAsia="zh-CN"/>
        </w:rPr>
      </w:pPr>
      <w:r>
        <w:rPr>
          <w:color w:val="auto"/>
          <w:sz w:val="30"/>
          <w:szCs w:val="30"/>
          <w:highlight w:val="none"/>
        </w:rPr>
        <w:t>项目名称：</w:t>
      </w:r>
      <w:r>
        <w:rPr>
          <w:rFonts w:hint="eastAsia"/>
          <w:color w:val="auto"/>
          <w:sz w:val="30"/>
          <w:szCs w:val="30"/>
          <w:highlight w:val="none"/>
          <w:lang w:eastAsia="zh-CN"/>
        </w:rPr>
        <w:t>哈尔滨工业大学重庆研究院智能化层析</w:t>
      </w:r>
    </w:p>
    <w:p>
      <w:pPr>
        <w:adjustRightInd w:val="0"/>
        <w:snapToGrid w:val="0"/>
        <w:spacing w:line="360" w:lineRule="auto"/>
        <w:ind w:left="3877" w:leftChars="1846" w:firstLine="0" w:firstLineChars="0"/>
        <w:rPr>
          <w:rFonts w:hint="eastAsia" w:eastAsia="宋体"/>
          <w:color w:val="auto"/>
          <w:spacing w:val="-20"/>
          <w:sz w:val="30"/>
          <w:szCs w:val="30"/>
          <w:highlight w:val="none"/>
          <w:lang w:eastAsia="zh-CN"/>
        </w:rPr>
      </w:pPr>
      <w:r>
        <w:rPr>
          <w:rFonts w:hint="eastAsia"/>
          <w:color w:val="auto"/>
          <w:sz w:val="30"/>
          <w:szCs w:val="30"/>
          <w:highlight w:val="none"/>
          <w:lang w:eastAsia="zh-CN"/>
        </w:rPr>
        <w:t>分离中试系统采购项目（</w:t>
      </w:r>
      <w:r>
        <w:rPr>
          <w:rFonts w:hint="eastAsia"/>
          <w:color w:val="auto"/>
          <w:sz w:val="30"/>
          <w:szCs w:val="30"/>
          <w:highlight w:val="none"/>
          <w:lang w:val="en-US" w:eastAsia="zh-CN"/>
        </w:rPr>
        <w:t>第二次</w:t>
      </w:r>
      <w:r>
        <w:rPr>
          <w:rFonts w:hint="eastAsia"/>
          <w:color w:val="auto"/>
          <w:sz w:val="30"/>
          <w:szCs w:val="30"/>
          <w:highlight w:val="none"/>
          <w:lang w:eastAsia="zh-CN"/>
        </w:rPr>
        <w:t>）</w:t>
      </w:r>
    </w:p>
    <w:p>
      <w:pPr>
        <w:adjustRightInd w:val="0"/>
        <w:snapToGrid w:val="0"/>
        <w:spacing w:line="360" w:lineRule="auto"/>
        <w:ind w:firstLine="790" w:firstLineChars="246"/>
        <w:rPr>
          <w:b/>
          <w:bCs/>
          <w:color w:val="auto"/>
          <w:sz w:val="32"/>
          <w:highlight w:val="none"/>
        </w:rPr>
      </w:pPr>
    </w:p>
    <w:p>
      <w:pPr>
        <w:jc w:val="center"/>
        <w:rPr>
          <w:b/>
          <w:bCs/>
          <w:color w:val="auto"/>
          <w:sz w:val="30"/>
          <w:highlight w:val="none"/>
        </w:rPr>
      </w:pPr>
    </w:p>
    <w:p>
      <w:pPr>
        <w:rPr>
          <w:b/>
          <w:bCs/>
          <w:color w:val="auto"/>
          <w:sz w:val="30"/>
          <w:highlight w:val="none"/>
        </w:rPr>
      </w:pPr>
    </w:p>
    <w:p>
      <w:pPr>
        <w:rPr>
          <w:b/>
          <w:bCs/>
          <w:color w:val="auto"/>
          <w:sz w:val="30"/>
          <w:highlight w:val="none"/>
        </w:rPr>
      </w:pPr>
    </w:p>
    <w:p>
      <w:pPr>
        <w:adjustRightInd w:val="0"/>
        <w:snapToGrid w:val="0"/>
        <w:spacing w:line="360" w:lineRule="auto"/>
        <w:ind w:left="899" w:leftChars="428"/>
        <w:rPr>
          <w:b/>
          <w:bCs/>
          <w:color w:val="auto"/>
          <w:sz w:val="32"/>
          <w:highlight w:val="none"/>
        </w:rPr>
      </w:pPr>
    </w:p>
    <w:p>
      <w:pPr>
        <w:adjustRightInd w:val="0"/>
        <w:snapToGrid w:val="0"/>
        <w:spacing w:line="360" w:lineRule="auto"/>
        <w:ind w:left="899" w:leftChars="428"/>
        <w:rPr>
          <w:b/>
          <w:bCs/>
          <w:color w:val="auto"/>
          <w:sz w:val="32"/>
          <w:highlight w:val="none"/>
        </w:rPr>
      </w:pPr>
    </w:p>
    <w:p>
      <w:pPr>
        <w:spacing w:line="480" w:lineRule="exact"/>
        <w:jc w:val="center"/>
        <w:outlineLvl w:val="0"/>
        <w:rPr>
          <w:color w:val="auto"/>
          <w:sz w:val="30"/>
          <w:szCs w:val="30"/>
          <w:highlight w:val="none"/>
        </w:rPr>
      </w:pPr>
      <w:r>
        <w:rPr>
          <w:color w:val="auto"/>
          <w:sz w:val="30"/>
          <w:szCs w:val="30"/>
          <w:highlight w:val="none"/>
        </w:rPr>
        <w:t xml:space="preserve">  采购人：</w:t>
      </w:r>
      <w:r>
        <w:rPr>
          <w:rFonts w:hint="eastAsia"/>
          <w:bCs/>
          <w:color w:val="auto"/>
          <w:sz w:val="30"/>
          <w:szCs w:val="30"/>
          <w:highlight w:val="none"/>
          <w:lang w:eastAsia="zh-CN"/>
        </w:rPr>
        <w:t>哈尔滨工业大学重庆研究院</w:t>
      </w:r>
      <w:r>
        <w:rPr>
          <w:color w:val="auto"/>
          <w:sz w:val="30"/>
          <w:szCs w:val="30"/>
          <w:highlight w:val="none"/>
        </w:rPr>
        <w:tab/>
      </w:r>
    </w:p>
    <w:p>
      <w:pPr>
        <w:spacing w:line="480" w:lineRule="exact"/>
        <w:jc w:val="center"/>
        <w:outlineLvl w:val="0"/>
        <w:rPr>
          <w:color w:val="auto"/>
          <w:sz w:val="30"/>
          <w:szCs w:val="30"/>
          <w:highlight w:val="none"/>
        </w:rPr>
      </w:pPr>
      <w:r>
        <w:rPr>
          <w:color w:val="auto"/>
          <w:sz w:val="30"/>
          <w:szCs w:val="30"/>
          <w:highlight w:val="none"/>
        </w:rPr>
        <w:t xml:space="preserve">     采购代理机构：重庆赛迪工程咨询有限公司</w:t>
      </w:r>
    </w:p>
    <w:p>
      <w:pPr>
        <w:snapToGrid w:val="0"/>
        <w:spacing w:line="480" w:lineRule="exact"/>
        <w:jc w:val="center"/>
        <w:rPr>
          <w:color w:val="auto"/>
          <w:sz w:val="30"/>
          <w:szCs w:val="30"/>
          <w:highlight w:val="none"/>
        </w:rPr>
      </w:pPr>
    </w:p>
    <w:p>
      <w:pPr>
        <w:snapToGrid w:val="0"/>
        <w:spacing w:line="480" w:lineRule="exact"/>
        <w:jc w:val="center"/>
        <w:rPr>
          <w:color w:val="auto"/>
          <w:sz w:val="30"/>
          <w:szCs w:val="30"/>
          <w:highlight w:val="none"/>
        </w:rPr>
      </w:pPr>
      <w:r>
        <w:rPr>
          <w:color w:val="auto"/>
          <w:sz w:val="30"/>
          <w:szCs w:val="30"/>
          <w:highlight w:val="none"/>
        </w:rPr>
        <w:t>二</w:t>
      </w:r>
      <w:r>
        <w:rPr>
          <w:rFonts w:hint="eastAsia"/>
          <w:color w:val="auto"/>
          <w:sz w:val="30"/>
          <w:szCs w:val="30"/>
          <w:highlight w:val="none"/>
          <w:lang w:val="en-US" w:eastAsia="zh-CN"/>
        </w:rPr>
        <w:t>〇</w:t>
      </w:r>
      <w:r>
        <w:rPr>
          <w:color w:val="auto"/>
          <w:sz w:val="30"/>
          <w:szCs w:val="30"/>
          <w:highlight w:val="none"/>
        </w:rPr>
        <w:t>二</w:t>
      </w:r>
      <w:r>
        <w:rPr>
          <w:rFonts w:hint="eastAsia"/>
          <w:color w:val="auto"/>
          <w:sz w:val="30"/>
          <w:szCs w:val="30"/>
          <w:highlight w:val="none"/>
          <w:lang w:val="en-US" w:eastAsia="zh-CN"/>
        </w:rPr>
        <w:t>三</w:t>
      </w:r>
      <w:r>
        <w:rPr>
          <w:color w:val="auto"/>
          <w:sz w:val="30"/>
          <w:szCs w:val="30"/>
          <w:highlight w:val="none"/>
        </w:rPr>
        <w:t>年</w:t>
      </w:r>
      <w:r>
        <w:rPr>
          <w:rFonts w:hint="eastAsia"/>
          <w:color w:val="auto"/>
          <w:sz w:val="30"/>
          <w:szCs w:val="30"/>
          <w:highlight w:val="none"/>
          <w:lang w:val="en-US" w:eastAsia="zh-CN"/>
        </w:rPr>
        <w:t>五</w:t>
      </w:r>
      <w:r>
        <w:rPr>
          <w:color w:val="auto"/>
          <w:sz w:val="30"/>
          <w:szCs w:val="30"/>
          <w:highlight w:val="none"/>
        </w:rPr>
        <w:t>月</w:t>
      </w:r>
    </w:p>
    <w:p>
      <w:pPr>
        <w:snapToGrid w:val="0"/>
        <w:spacing w:line="480" w:lineRule="exact"/>
        <w:rPr>
          <w:color w:val="auto"/>
          <w:sz w:val="30"/>
          <w:szCs w:val="30"/>
          <w:highlight w:val="none"/>
        </w:rPr>
        <w:sectPr>
          <w:headerReference r:id="rId4" w:type="first"/>
          <w:headerReference r:id="rId3" w:type="default"/>
          <w:footerReference r:id="rId5" w:type="default"/>
          <w:footerReference r:id="rId6" w:type="even"/>
          <w:pgSz w:w="11907" w:h="16840"/>
          <w:pgMar w:top="1134" w:right="1191" w:bottom="1134" w:left="1304" w:header="964" w:footer="992" w:gutter="0"/>
          <w:pgNumType w:start="1"/>
          <w:cols w:space="720" w:num="1"/>
          <w:titlePg/>
          <w:docGrid w:linePitch="312" w:charSpace="0"/>
        </w:sectPr>
      </w:pPr>
    </w:p>
    <w:p>
      <w:pPr>
        <w:jc w:val="center"/>
        <w:rPr>
          <w:b/>
          <w:color w:val="auto"/>
          <w:sz w:val="44"/>
          <w:szCs w:val="36"/>
          <w:highlight w:val="none"/>
        </w:rPr>
      </w:pPr>
      <w:bookmarkStart w:id="0" w:name="_Toc68963457"/>
      <w:r>
        <w:rPr>
          <w:b/>
          <w:color w:val="auto"/>
          <w:sz w:val="44"/>
          <w:szCs w:val="36"/>
          <w:highlight w:val="none"/>
        </w:rPr>
        <w:t>目 录</w:t>
      </w:r>
      <w:bookmarkEnd w:id="0"/>
    </w:p>
    <w:p>
      <w:pPr>
        <w:jc w:val="center"/>
        <w:rPr>
          <w:b/>
          <w:color w:val="auto"/>
          <w:sz w:val="44"/>
          <w:szCs w:val="36"/>
          <w:highlight w:val="none"/>
        </w:rPr>
      </w:pPr>
    </w:p>
    <w:p>
      <w:pPr>
        <w:pStyle w:val="28"/>
        <w:spacing w:line="360" w:lineRule="auto"/>
        <w:jc w:val="center"/>
        <w:rPr>
          <w:color w:val="auto"/>
          <w:sz w:val="24"/>
          <w:highlight w:val="none"/>
        </w:rPr>
      </w:pPr>
      <w:r>
        <w:rPr>
          <w:color w:val="auto"/>
          <w:sz w:val="24"/>
          <w:highlight w:val="none"/>
        </w:rPr>
        <w:fldChar w:fldCharType="begin"/>
      </w:r>
      <w:r>
        <w:rPr>
          <w:color w:val="auto"/>
          <w:sz w:val="24"/>
          <w:highlight w:val="none"/>
        </w:rPr>
        <w:instrText xml:space="preserve"> TOC \o "1-3" \h \z \u </w:instrText>
      </w:r>
      <w:r>
        <w:rPr>
          <w:color w:val="auto"/>
          <w:sz w:val="24"/>
          <w:highlight w:val="none"/>
        </w:rPr>
        <w:fldChar w:fldCharType="separate"/>
      </w:r>
      <w:r>
        <w:rPr>
          <w:color w:val="auto"/>
          <w:highlight w:val="none"/>
        </w:rPr>
        <w:fldChar w:fldCharType="begin"/>
      </w:r>
      <w:r>
        <w:rPr>
          <w:color w:val="auto"/>
          <w:highlight w:val="none"/>
        </w:rPr>
        <w:instrText xml:space="preserve"> HYPERLINK \l "_Toc10213425" </w:instrText>
      </w:r>
      <w:r>
        <w:rPr>
          <w:color w:val="auto"/>
          <w:highlight w:val="none"/>
        </w:rPr>
        <w:fldChar w:fldCharType="separate"/>
      </w:r>
      <w:r>
        <w:rPr>
          <w:rStyle w:val="46"/>
          <w:color w:val="auto"/>
          <w:sz w:val="24"/>
          <w:highlight w:val="none"/>
        </w:rPr>
        <w:t>第一章 评比公告</w:t>
      </w:r>
      <w:r>
        <w:rPr>
          <w:color w:val="auto"/>
          <w:sz w:val="24"/>
          <w:highlight w:val="none"/>
        </w:rPr>
        <w:tab/>
      </w:r>
      <w:r>
        <w:rPr>
          <w:color w:val="auto"/>
          <w:sz w:val="24"/>
          <w:highlight w:val="none"/>
        </w:rPr>
        <w:fldChar w:fldCharType="begin"/>
      </w:r>
      <w:r>
        <w:rPr>
          <w:color w:val="auto"/>
          <w:sz w:val="24"/>
          <w:highlight w:val="none"/>
        </w:rPr>
        <w:instrText xml:space="preserve"> PAGEREF _Toc10213425 \h </w:instrText>
      </w:r>
      <w:r>
        <w:rPr>
          <w:color w:val="auto"/>
          <w:sz w:val="24"/>
          <w:highlight w:val="none"/>
        </w:rPr>
        <w:fldChar w:fldCharType="separate"/>
      </w:r>
      <w:r>
        <w:rPr>
          <w:color w:val="auto"/>
          <w:sz w:val="24"/>
          <w:highlight w:val="none"/>
        </w:rPr>
        <w:t>2</w:t>
      </w:r>
      <w:r>
        <w:rPr>
          <w:color w:val="auto"/>
          <w:sz w:val="24"/>
          <w:highlight w:val="none"/>
        </w:rPr>
        <w:fldChar w:fldCharType="end"/>
      </w:r>
      <w:r>
        <w:rPr>
          <w:color w:val="auto"/>
          <w:sz w:val="24"/>
          <w:highlight w:val="none"/>
        </w:rPr>
        <w:fldChar w:fldCharType="end"/>
      </w:r>
    </w:p>
    <w:p>
      <w:pPr>
        <w:pStyle w:val="28"/>
        <w:spacing w:line="360" w:lineRule="auto"/>
        <w:jc w:val="center"/>
        <w:rPr>
          <w:color w:val="auto"/>
          <w:sz w:val="24"/>
          <w:highlight w:val="none"/>
        </w:rPr>
      </w:pPr>
      <w:r>
        <w:rPr>
          <w:color w:val="auto"/>
          <w:highlight w:val="none"/>
        </w:rPr>
        <w:fldChar w:fldCharType="begin"/>
      </w:r>
      <w:r>
        <w:rPr>
          <w:color w:val="auto"/>
          <w:highlight w:val="none"/>
        </w:rPr>
        <w:instrText xml:space="preserve"> HYPERLINK \l "_Toc10213426" </w:instrText>
      </w:r>
      <w:r>
        <w:rPr>
          <w:color w:val="auto"/>
          <w:highlight w:val="none"/>
        </w:rPr>
        <w:fldChar w:fldCharType="separate"/>
      </w:r>
      <w:r>
        <w:rPr>
          <w:rStyle w:val="46"/>
          <w:color w:val="auto"/>
          <w:sz w:val="24"/>
          <w:highlight w:val="none"/>
        </w:rPr>
        <w:t>第二章 评比供应商须知</w:t>
      </w:r>
      <w:r>
        <w:rPr>
          <w:color w:val="auto"/>
          <w:sz w:val="24"/>
          <w:highlight w:val="none"/>
        </w:rPr>
        <w:tab/>
      </w:r>
      <w:r>
        <w:rPr>
          <w:color w:val="auto"/>
          <w:sz w:val="24"/>
          <w:highlight w:val="none"/>
        </w:rPr>
        <w:fldChar w:fldCharType="begin"/>
      </w:r>
      <w:r>
        <w:rPr>
          <w:color w:val="auto"/>
          <w:sz w:val="24"/>
          <w:highlight w:val="none"/>
        </w:rPr>
        <w:instrText xml:space="preserve"> PAGEREF _Toc10213426 \h </w:instrText>
      </w:r>
      <w:r>
        <w:rPr>
          <w:color w:val="auto"/>
          <w:sz w:val="24"/>
          <w:highlight w:val="none"/>
        </w:rPr>
        <w:fldChar w:fldCharType="separate"/>
      </w:r>
      <w:r>
        <w:rPr>
          <w:color w:val="auto"/>
          <w:sz w:val="24"/>
          <w:highlight w:val="none"/>
        </w:rPr>
        <w:t>5</w:t>
      </w:r>
      <w:r>
        <w:rPr>
          <w:color w:val="auto"/>
          <w:sz w:val="24"/>
          <w:highlight w:val="none"/>
        </w:rPr>
        <w:fldChar w:fldCharType="end"/>
      </w:r>
      <w:r>
        <w:rPr>
          <w:color w:val="auto"/>
          <w:sz w:val="24"/>
          <w:highlight w:val="none"/>
        </w:rPr>
        <w:fldChar w:fldCharType="end"/>
      </w:r>
    </w:p>
    <w:p>
      <w:pPr>
        <w:pStyle w:val="28"/>
        <w:spacing w:line="360" w:lineRule="auto"/>
        <w:jc w:val="center"/>
        <w:rPr>
          <w:color w:val="auto"/>
          <w:sz w:val="24"/>
          <w:highlight w:val="none"/>
        </w:rPr>
      </w:pPr>
      <w:r>
        <w:rPr>
          <w:color w:val="auto"/>
          <w:highlight w:val="none"/>
        </w:rPr>
        <w:fldChar w:fldCharType="begin"/>
      </w:r>
      <w:r>
        <w:rPr>
          <w:color w:val="auto"/>
          <w:highlight w:val="none"/>
        </w:rPr>
        <w:instrText xml:space="preserve"> HYPERLINK \l "_Toc10213433" </w:instrText>
      </w:r>
      <w:r>
        <w:rPr>
          <w:color w:val="auto"/>
          <w:highlight w:val="none"/>
        </w:rPr>
        <w:fldChar w:fldCharType="separate"/>
      </w:r>
      <w:r>
        <w:rPr>
          <w:rStyle w:val="46"/>
          <w:color w:val="auto"/>
          <w:sz w:val="24"/>
          <w:highlight w:val="none"/>
        </w:rPr>
        <w:t>第三章 合同条件、格式</w:t>
      </w:r>
      <w:r>
        <w:rPr>
          <w:color w:val="auto"/>
          <w:sz w:val="24"/>
          <w:highlight w:val="none"/>
        </w:rPr>
        <w:tab/>
      </w:r>
      <w:r>
        <w:rPr>
          <w:color w:val="auto"/>
          <w:sz w:val="24"/>
          <w:highlight w:val="none"/>
        </w:rPr>
        <w:fldChar w:fldCharType="begin"/>
      </w:r>
      <w:r>
        <w:rPr>
          <w:color w:val="auto"/>
          <w:sz w:val="24"/>
          <w:highlight w:val="none"/>
        </w:rPr>
        <w:instrText xml:space="preserve"> PAGEREF _Toc10213433 \h </w:instrText>
      </w:r>
      <w:r>
        <w:rPr>
          <w:color w:val="auto"/>
          <w:sz w:val="24"/>
          <w:highlight w:val="none"/>
        </w:rPr>
        <w:fldChar w:fldCharType="separate"/>
      </w:r>
      <w:r>
        <w:rPr>
          <w:color w:val="auto"/>
          <w:sz w:val="24"/>
          <w:highlight w:val="none"/>
        </w:rPr>
        <w:t>16</w:t>
      </w:r>
      <w:r>
        <w:rPr>
          <w:color w:val="auto"/>
          <w:sz w:val="24"/>
          <w:highlight w:val="none"/>
        </w:rPr>
        <w:fldChar w:fldCharType="end"/>
      </w:r>
      <w:r>
        <w:rPr>
          <w:color w:val="auto"/>
          <w:sz w:val="24"/>
          <w:highlight w:val="none"/>
        </w:rPr>
        <w:fldChar w:fldCharType="end"/>
      </w:r>
    </w:p>
    <w:p>
      <w:pPr>
        <w:pStyle w:val="28"/>
        <w:spacing w:line="360" w:lineRule="auto"/>
        <w:jc w:val="center"/>
        <w:rPr>
          <w:color w:val="auto"/>
          <w:sz w:val="24"/>
          <w:highlight w:val="none"/>
        </w:rPr>
      </w:pPr>
      <w:r>
        <w:rPr>
          <w:color w:val="auto"/>
          <w:highlight w:val="none"/>
        </w:rPr>
        <w:fldChar w:fldCharType="begin"/>
      </w:r>
      <w:r>
        <w:rPr>
          <w:color w:val="auto"/>
          <w:highlight w:val="none"/>
        </w:rPr>
        <w:instrText xml:space="preserve"> HYPERLINK \l "_Toc10213449" </w:instrText>
      </w:r>
      <w:r>
        <w:rPr>
          <w:color w:val="auto"/>
          <w:highlight w:val="none"/>
        </w:rPr>
        <w:fldChar w:fldCharType="separate"/>
      </w:r>
      <w:r>
        <w:rPr>
          <w:rStyle w:val="46"/>
          <w:color w:val="auto"/>
          <w:sz w:val="24"/>
          <w:highlight w:val="none"/>
        </w:rPr>
        <w:t>第四章 技术服务需求及说明</w:t>
      </w:r>
      <w:r>
        <w:rPr>
          <w:color w:val="auto"/>
          <w:sz w:val="24"/>
          <w:highlight w:val="none"/>
        </w:rPr>
        <w:tab/>
      </w:r>
      <w:r>
        <w:rPr>
          <w:color w:val="auto"/>
          <w:sz w:val="24"/>
          <w:highlight w:val="none"/>
        </w:rPr>
        <w:fldChar w:fldCharType="begin"/>
      </w:r>
      <w:r>
        <w:rPr>
          <w:color w:val="auto"/>
          <w:sz w:val="24"/>
          <w:highlight w:val="none"/>
        </w:rPr>
        <w:instrText xml:space="preserve"> PAGEREF _Toc10213449 \h </w:instrText>
      </w:r>
      <w:r>
        <w:rPr>
          <w:color w:val="auto"/>
          <w:sz w:val="24"/>
          <w:highlight w:val="none"/>
        </w:rPr>
        <w:fldChar w:fldCharType="separate"/>
      </w:r>
      <w:r>
        <w:rPr>
          <w:color w:val="auto"/>
          <w:sz w:val="24"/>
          <w:highlight w:val="none"/>
        </w:rPr>
        <w:t>24</w:t>
      </w:r>
      <w:r>
        <w:rPr>
          <w:color w:val="auto"/>
          <w:sz w:val="24"/>
          <w:highlight w:val="none"/>
        </w:rPr>
        <w:fldChar w:fldCharType="end"/>
      </w:r>
      <w:r>
        <w:rPr>
          <w:color w:val="auto"/>
          <w:sz w:val="24"/>
          <w:highlight w:val="none"/>
        </w:rPr>
        <w:fldChar w:fldCharType="end"/>
      </w:r>
    </w:p>
    <w:p>
      <w:pPr>
        <w:pStyle w:val="28"/>
        <w:spacing w:line="360" w:lineRule="auto"/>
        <w:jc w:val="center"/>
        <w:rPr>
          <w:color w:val="auto"/>
          <w:sz w:val="24"/>
          <w:highlight w:val="none"/>
        </w:rPr>
      </w:pPr>
      <w:r>
        <w:rPr>
          <w:color w:val="auto"/>
          <w:highlight w:val="none"/>
        </w:rPr>
        <w:fldChar w:fldCharType="begin"/>
      </w:r>
      <w:r>
        <w:rPr>
          <w:color w:val="auto"/>
          <w:highlight w:val="none"/>
        </w:rPr>
        <w:instrText xml:space="preserve"> HYPERLINK \l "_Toc10213450" </w:instrText>
      </w:r>
      <w:r>
        <w:rPr>
          <w:color w:val="auto"/>
          <w:highlight w:val="none"/>
        </w:rPr>
        <w:fldChar w:fldCharType="separate"/>
      </w:r>
      <w:r>
        <w:rPr>
          <w:rStyle w:val="46"/>
          <w:color w:val="auto"/>
          <w:sz w:val="24"/>
          <w:highlight w:val="none"/>
        </w:rPr>
        <w:t>第五章 评比响应文件格式</w:t>
      </w:r>
      <w:r>
        <w:rPr>
          <w:color w:val="auto"/>
          <w:sz w:val="24"/>
          <w:highlight w:val="none"/>
        </w:rPr>
        <w:tab/>
      </w:r>
      <w:r>
        <w:rPr>
          <w:color w:val="auto"/>
          <w:sz w:val="24"/>
          <w:highlight w:val="none"/>
        </w:rPr>
        <w:fldChar w:fldCharType="begin"/>
      </w:r>
      <w:r>
        <w:rPr>
          <w:color w:val="auto"/>
          <w:sz w:val="24"/>
          <w:highlight w:val="none"/>
        </w:rPr>
        <w:instrText xml:space="preserve"> PAGEREF _Toc10213450 \h </w:instrText>
      </w:r>
      <w:r>
        <w:rPr>
          <w:color w:val="auto"/>
          <w:sz w:val="24"/>
          <w:highlight w:val="none"/>
        </w:rPr>
        <w:fldChar w:fldCharType="separate"/>
      </w:r>
      <w:r>
        <w:rPr>
          <w:color w:val="auto"/>
          <w:sz w:val="24"/>
          <w:highlight w:val="none"/>
        </w:rPr>
        <w:t>26</w:t>
      </w:r>
      <w:r>
        <w:rPr>
          <w:color w:val="auto"/>
          <w:sz w:val="24"/>
          <w:highlight w:val="none"/>
        </w:rPr>
        <w:fldChar w:fldCharType="end"/>
      </w:r>
      <w:r>
        <w:rPr>
          <w:color w:val="auto"/>
          <w:sz w:val="24"/>
          <w:highlight w:val="none"/>
        </w:rPr>
        <w:fldChar w:fldCharType="end"/>
      </w:r>
    </w:p>
    <w:p>
      <w:pPr>
        <w:pStyle w:val="28"/>
        <w:spacing w:line="360" w:lineRule="auto"/>
        <w:jc w:val="center"/>
        <w:rPr>
          <w:color w:val="auto"/>
          <w:sz w:val="24"/>
          <w:highlight w:val="none"/>
        </w:rPr>
      </w:pPr>
      <w:r>
        <w:rPr>
          <w:color w:val="auto"/>
          <w:highlight w:val="none"/>
        </w:rPr>
        <w:fldChar w:fldCharType="begin"/>
      </w:r>
      <w:r>
        <w:rPr>
          <w:color w:val="auto"/>
          <w:highlight w:val="none"/>
        </w:rPr>
        <w:instrText xml:space="preserve"> HYPERLINK \l "_Toc10213462" </w:instrText>
      </w:r>
      <w:r>
        <w:rPr>
          <w:color w:val="auto"/>
          <w:highlight w:val="none"/>
        </w:rPr>
        <w:fldChar w:fldCharType="separate"/>
      </w:r>
      <w:r>
        <w:rPr>
          <w:rStyle w:val="46"/>
          <w:color w:val="auto"/>
          <w:sz w:val="24"/>
          <w:highlight w:val="none"/>
        </w:rPr>
        <w:t>第六章 评审办法</w:t>
      </w:r>
      <w:r>
        <w:rPr>
          <w:color w:val="auto"/>
          <w:sz w:val="24"/>
          <w:highlight w:val="none"/>
        </w:rPr>
        <w:tab/>
      </w:r>
      <w:r>
        <w:rPr>
          <w:color w:val="auto"/>
          <w:sz w:val="24"/>
          <w:highlight w:val="none"/>
        </w:rPr>
        <w:fldChar w:fldCharType="begin"/>
      </w:r>
      <w:r>
        <w:rPr>
          <w:color w:val="auto"/>
          <w:sz w:val="24"/>
          <w:highlight w:val="none"/>
        </w:rPr>
        <w:instrText xml:space="preserve"> PAGEREF _Toc10213462 \h </w:instrText>
      </w:r>
      <w:r>
        <w:rPr>
          <w:color w:val="auto"/>
          <w:sz w:val="24"/>
          <w:highlight w:val="none"/>
        </w:rPr>
        <w:fldChar w:fldCharType="separate"/>
      </w:r>
      <w:r>
        <w:rPr>
          <w:color w:val="auto"/>
          <w:sz w:val="24"/>
          <w:highlight w:val="none"/>
        </w:rPr>
        <w:t>43</w:t>
      </w:r>
      <w:r>
        <w:rPr>
          <w:color w:val="auto"/>
          <w:sz w:val="24"/>
          <w:highlight w:val="none"/>
        </w:rPr>
        <w:fldChar w:fldCharType="end"/>
      </w:r>
      <w:r>
        <w:rPr>
          <w:color w:val="auto"/>
          <w:sz w:val="24"/>
          <w:highlight w:val="none"/>
        </w:rPr>
        <w:fldChar w:fldCharType="end"/>
      </w:r>
    </w:p>
    <w:p>
      <w:pPr>
        <w:spacing w:line="360" w:lineRule="auto"/>
        <w:jc w:val="center"/>
        <w:rPr>
          <w:color w:val="auto"/>
          <w:sz w:val="24"/>
          <w:highlight w:val="none"/>
        </w:rPr>
      </w:pPr>
      <w:r>
        <w:rPr>
          <w:color w:val="auto"/>
          <w:sz w:val="24"/>
          <w:highlight w:val="none"/>
        </w:rPr>
        <w:fldChar w:fldCharType="end"/>
      </w:r>
    </w:p>
    <w:p>
      <w:pPr>
        <w:rPr>
          <w:color w:val="auto"/>
          <w:sz w:val="24"/>
          <w:highlight w:val="none"/>
        </w:rPr>
        <w:sectPr>
          <w:headerReference r:id="rId7" w:type="default"/>
          <w:footerReference r:id="rId8" w:type="default"/>
          <w:pgSz w:w="11906" w:h="16838"/>
          <w:pgMar w:top="851" w:right="1134" w:bottom="851" w:left="1247" w:header="851" w:footer="992" w:gutter="0"/>
          <w:pgNumType w:start="1"/>
          <w:cols w:space="720" w:num="1"/>
          <w:docGrid w:type="lines" w:linePitch="312" w:charSpace="0"/>
        </w:sectPr>
      </w:pPr>
    </w:p>
    <w:p>
      <w:pPr>
        <w:pStyle w:val="2"/>
        <w:keepLines w:val="0"/>
        <w:widowControl w:val="0"/>
        <w:tabs>
          <w:tab w:val="left" w:pos="1530"/>
          <w:tab w:val="left" w:pos="3360"/>
          <w:tab w:val="left" w:pos="8052"/>
        </w:tabs>
        <w:adjustRightInd/>
        <w:spacing w:line="480" w:lineRule="auto"/>
        <w:ind w:left="1531" w:hanging="1531"/>
        <w:rPr>
          <w:rFonts w:eastAsia="宋体"/>
          <w:bCs w:val="0"/>
          <w:color w:val="auto"/>
          <w:kern w:val="2"/>
          <w:szCs w:val="36"/>
          <w:highlight w:val="none"/>
        </w:rPr>
      </w:pPr>
      <w:bookmarkStart w:id="1" w:name="_Toc10213425"/>
      <w:r>
        <w:rPr>
          <w:rFonts w:eastAsia="宋体"/>
          <w:bCs w:val="0"/>
          <w:color w:val="auto"/>
          <w:kern w:val="2"/>
          <w:szCs w:val="36"/>
          <w:highlight w:val="none"/>
        </w:rPr>
        <w:t>第一章  评比公告</w:t>
      </w:r>
      <w:bookmarkEnd w:id="1"/>
    </w:p>
    <w:p>
      <w:pPr>
        <w:adjustRightInd w:val="0"/>
        <w:snapToGrid w:val="0"/>
        <w:spacing w:line="480" w:lineRule="exact"/>
        <w:ind w:firstLine="420" w:firstLineChars="200"/>
        <w:rPr>
          <w:color w:val="auto"/>
          <w:szCs w:val="21"/>
          <w:highlight w:val="none"/>
        </w:rPr>
      </w:pPr>
      <w:r>
        <w:rPr>
          <w:color w:val="auto"/>
          <w:szCs w:val="21"/>
          <w:highlight w:val="none"/>
        </w:rPr>
        <w:t>重庆赛迪工程咨询有限公司（以下简称：采购代理机构）受</w:t>
      </w:r>
      <w:r>
        <w:rPr>
          <w:rFonts w:hint="eastAsia"/>
          <w:color w:val="auto"/>
          <w:szCs w:val="21"/>
          <w:highlight w:val="none"/>
          <w:lang w:eastAsia="zh-CN"/>
        </w:rPr>
        <w:t>哈尔滨工业大学重庆研究院</w:t>
      </w:r>
      <w:r>
        <w:rPr>
          <w:color w:val="auto"/>
          <w:szCs w:val="21"/>
          <w:highlight w:val="none"/>
        </w:rPr>
        <w:t>（以下简称：采购人）的委托，对“</w:t>
      </w:r>
      <w:r>
        <w:rPr>
          <w:rFonts w:hint="eastAsia"/>
          <w:color w:val="auto"/>
          <w:szCs w:val="21"/>
          <w:highlight w:val="none"/>
          <w:lang w:eastAsia="zh-CN"/>
        </w:rPr>
        <w:t>哈尔滨工业大学重庆研究院智能化层析分离中试系统采购项目（</w:t>
      </w:r>
      <w:r>
        <w:rPr>
          <w:rFonts w:hint="eastAsia"/>
          <w:color w:val="auto"/>
          <w:szCs w:val="21"/>
          <w:highlight w:val="none"/>
          <w:lang w:val="en-US" w:eastAsia="zh-CN"/>
        </w:rPr>
        <w:t>第二次</w:t>
      </w:r>
      <w:r>
        <w:rPr>
          <w:rFonts w:hint="eastAsia"/>
          <w:color w:val="auto"/>
          <w:szCs w:val="21"/>
          <w:highlight w:val="none"/>
          <w:lang w:eastAsia="zh-CN"/>
        </w:rPr>
        <w:t>）</w:t>
      </w:r>
      <w:r>
        <w:rPr>
          <w:color w:val="auto"/>
          <w:szCs w:val="21"/>
          <w:highlight w:val="none"/>
        </w:rPr>
        <w:t>（项目编号：SDZB-2</w:t>
      </w:r>
      <w:r>
        <w:rPr>
          <w:rFonts w:hint="eastAsia"/>
          <w:color w:val="auto"/>
          <w:szCs w:val="21"/>
          <w:highlight w:val="none"/>
          <w:lang w:val="en-US" w:eastAsia="zh-CN"/>
        </w:rPr>
        <w:t>3</w:t>
      </w:r>
      <w:r>
        <w:rPr>
          <w:color w:val="auto"/>
          <w:szCs w:val="21"/>
          <w:highlight w:val="none"/>
        </w:rPr>
        <w:t>-</w:t>
      </w:r>
      <w:r>
        <w:rPr>
          <w:rFonts w:hint="eastAsia"/>
          <w:color w:val="auto"/>
          <w:szCs w:val="21"/>
          <w:highlight w:val="none"/>
          <w:lang w:val="en-US" w:eastAsia="zh-CN"/>
        </w:rPr>
        <w:t>085</w:t>
      </w:r>
      <w:r>
        <w:rPr>
          <w:color w:val="auto"/>
          <w:szCs w:val="21"/>
          <w:highlight w:val="none"/>
        </w:rPr>
        <w:t>W）”组织评比采购，欢迎有资格的供应商参加本项目的评比。</w:t>
      </w:r>
    </w:p>
    <w:p>
      <w:pPr>
        <w:snapToGrid w:val="0"/>
        <w:spacing w:line="440" w:lineRule="exact"/>
        <w:ind w:firstLine="422" w:firstLineChars="200"/>
        <w:rPr>
          <w:rFonts w:hint="eastAsia" w:eastAsia="宋体"/>
          <w:color w:val="auto"/>
          <w:szCs w:val="21"/>
          <w:highlight w:val="none"/>
          <w:lang w:eastAsia="zh-CN"/>
        </w:rPr>
      </w:pPr>
      <w:r>
        <w:rPr>
          <w:b/>
          <w:color w:val="auto"/>
          <w:szCs w:val="21"/>
          <w:highlight w:val="none"/>
        </w:rPr>
        <w:t>1．项目名称：</w:t>
      </w:r>
      <w:r>
        <w:rPr>
          <w:rFonts w:hint="eastAsia"/>
          <w:color w:val="auto"/>
          <w:szCs w:val="21"/>
          <w:highlight w:val="none"/>
          <w:lang w:eastAsia="zh-CN"/>
        </w:rPr>
        <w:t>哈尔滨工业大学重庆研究院智能化层析分离中试系统采购项目（</w:t>
      </w:r>
      <w:r>
        <w:rPr>
          <w:rFonts w:hint="eastAsia"/>
          <w:color w:val="auto"/>
          <w:szCs w:val="21"/>
          <w:highlight w:val="none"/>
          <w:lang w:val="en-US" w:eastAsia="zh-CN"/>
        </w:rPr>
        <w:t>第二次</w:t>
      </w:r>
      <w:r>
        <w:rPr>
          <w:rFonts w:hint="eastAsia"/>
          <w:color w:val="auto"/>
          <w:szCs w:val="21"/>
          <w:highlight w:val="none"/>
          <w:lang w:eastAsia="zh-CN"/>
        </w:rPr>
        <w:t>）</w:t>
      </w:r>
    </w:p>
    <w:p>
      <w:pPr>
        <w:snapToGrid w:val="0"/>
        <w:spacing w:line="440" w:lineRule="exact"/>
        <w:ind w:firstLine="422" w:firstLineChars="200"/>
        <w:rPr>
          <w:b/>
          <w:color w:val="auto"/>
          <w:szCs w:val="21"/>
          <w:highlight w:val="none"/>
        </w:rPr>
      </w:pPr>
      <w:r>
        <w:rPr>
          <w:b/>
          <w:color w:val="auto"/>
          <w:szCs w:val="21"/>
          <w:highlight w:val="none"/>
        </w:rPr>
        <w:t>2．项目概况：</w:t>
      </w:r>
    </w:p>
    <w:tbl>
      <w:tblPr>
        <w:tblStyle w:val="39"/>
        <w:tblW w:w="47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1277"/>
        <w:gridCol w:w="609"/>
        <w:gridCol w:w="1158"/>
        <w:gridCol w:w="1005"/>
        <w:gridCol w:w="3232"/>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exact"/>
          <w:jc w:val="center"/>
        </w:trPr>
        <w:tc>
          <w:tcPr>
            <w:tcW w:w="329"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jc w:val="center"/>
              <w:rPr>
                <w:rFonts w:ascii="Times New Roman" w:hAnsi="Times New Roman"/>
                <w:b/>
                <w:color w:val="auto"/>
                <w:sz w:val="21"/>
                <w:szCs w:val="21"/>
                <w:highlight w:val="none"/>
              </w:rPr>
            </w:pPr>
            <w:r>
              <w:rPr>
                <w:rFonts w:ascii="Times New Roman" w:hAnsi="Times New Roman"/>
                <w:b/>
                <w:color w:val="auto"/>
                <w:sz w:val="21"/>
                <w:szCs w:val="21"/>
                <w:highlight w:val="none"/>
              </w:rPr>
              <w:t>序号</w:t>
            </w:r>
          </w:p>
        </w:tc>
        <w:tc>
          <w:tcPr>
            <w:tcW w:w="691"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jc w:val="center"/>
              <w:rPr>
                <w:rFonts w:ascii="Times New Roman" w:hAnsi="Times New Roman"/>
                <w:b/>
                <w:color w:val="auto"/>
                <w:sz w:val="21"/>
                <w:szCs w:val="21"/>
                <w:highlight w:val="none"/>
              </w:rPr>
            </w:pPr>
            <w:r>
              <w:rPr>
                <w:rFonts w:ascii="Times New Roman" w:hAnsi="Times New Roman"/>
                <w:b/>
                <w:color w:val="auto"/>
                <w:sz w:val="21"/>
                <w:szCs w:val="21"/>
                <w:highlight w:val="none"/>
              </w:rPr>
              <w:t>采购内容</w:t>
            </w:r>
          </w:p>
        </w:tc>
        <w:tc>
          <w:tcPr>
            <w:tcW w:w="330"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jc w:val="center"/>
              <w:rPr>
                <w:rFonts w:ascii="Times New Roman" w:hAnsi="Times New Roman"/>
                <w:b/>
                <w:color w:val="auto"/>
                <w:sz w:val="21"/>
                <w:szCs w:val="21"/>
                <w:highlight w:val="none"/>
              </w:rPr>
            </w:pPr>
            <w:r>
              <w:rPr>
                <w:rFonts w:ascii="Times New Roman" w:hAnsi="Times New Roman"/>
                <w:b/>
                <w:color w:val="auto"/>
                <w:sz w:val="21"/>
                <w:szCs w:val="21"/>
                <w:highlight w:val="none"/>
              </w:rPr>
              <w:t>数量</w:t>
            </w:r>
          </w:p>
        </w:tc>
        <w:tc>
          <w:tcPr>
            <w:tcW w:w="627"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jc w:val="center"/>
              <w:rPr>
                <w:rFonts w:ascii="Times New Roman" w:hAnsi="Times New Roman"/>
                <w:b/>
                <w:color w:val="auto"/>
                <w:sz w:val="21"/>
                <w:szCs w:val="21"/>
                <w:highlight w:val="none"/>
              </w:rPr>
            </w:pPr>
            <w:r>
              <w:rPr>
                <w:rFonts w:ascii="Times New Roman" w:hAnsi="Times New Roman"/>
                <w:b/>
                <w:color w:val="auto"/>
                <w:sz w:val="21"/>
                <w:szCs w:val="21"/>
                <w:highlight w:val="none"/>
              </w:rPr>
              <w:t>采购预算</w:t>
            </w:r>
          </w:p>
        </w:tc>
        <w:tc>
          <w:tcPr>
            <w:tcW w:w="544" w:type="pct"/>
            <w:tcBorders>
              <w:top w:val="single" w:color="auto" w:sz="4" w:space="0"/>
              <w:left w:val="single" w:color="auto" w:sz="4" w:space="0"/>
              <w:right w:val="single" w:color="auto" w:sz="4" w:space="0"/>
            </w:tcBorders>
            <w:vAlign w:val="center"/>
          </w:tcPr>
          <w:p>
            <w:pPr>
              <w:pStyle w:val="22"/>
              <w:adjustRightInd w:val="0"/>
              <w:snapToGrid w:val="0"/>
              <w:jc w:val="center"/>
              <w:rPr>
                <w:rFonts w:ascii="Times New Roman" w:hAnsi="Times New Roman"/>
                <w:b/>
                <w:bCs/>
                <w:color w:val="auto"/>
                <w:sz w:val="21"/>
                <w:szCs w:val="21"/>
                <w:highlight w:val="none"/>
              </w:rPr>
            </w:pPr>
            <w:r>
              <w:rPr>
                <w:rFonts w:ascii="Times New Roman" w:hAnsi="Times New Roman"/>
                <w:b/>
                <w:bCs/>
                <w:color w:val="auto"/>
                <w:sz w:val="21"/>
                <w:szCs w:val="21"/>
                <w:highlight w:val="none"/>
              </w:rPr>
              <w:t>中标人</w:t>
            </w:r>
          </w:p>
          <w:p>
            <w:pPr>
              <w:pStyle w:val="22"/>
              <w:adjustRightInd w:val="0"/>
              <w:snapToGrid w:val="0"/>
              <w:jc w:val="center"/>
              <w:rPr>
                <w:rFonts w:ascii="Times New Roman" w:hAnsi="Times New Roman"/>
                <w:b/>
                <w:color w:val="auto"/>
                <w:sz w:val="21"/>
                <w:szCs w:val="21"/>
                <w:highlight w:val="none"/>
              </w:rPr>
            </w:pPr>
            <w:r>
              <w:rPr>
                <w:rFonts w:ascii="Times New Roman" w:hAnsi="Times New Roman"/>
                <w:b/>
                <w:bCs/>
                <w:color w:val="auto"/>
                <w:spacing w:val="-59"/>
                <w:sz w:val="21"/>
                <w:szCs w:val="21"/>
                <w:highlight w:val="none"/>
              </w:rPr>
              <w:t xml:space="preserve"> </w:t>
            </w:r>
            <w:r>
              <w:rPr>
                <w:rFonts w:ascii="Times New Roman" w:hAnsi="Times New Roman"/>
                <w:b/>
                <w:bCs/>
                <w:color w:val="auto"/>
                <w:sz w:val="21"/>
                <w:szCs w:val="21"/>
                <w:highlight w:val="none"/>
              </w:rPr>
              <w:t>数量</w:t>
            </w:r>
          </w:p>
        </w:tc>
        <w:tc>
          <w:tcPr>
            <w:tcW w:w="1750" w:type="pct"/>
            <w:tcBorders>
              <w:top w:val="single" w:color="auto" w:sz="4" w:space="0"/>
              <w:left w:val="single" w:color="auto" w:sz="4" w:space="0"/>
              <w:right w:val="single" w:color="auto" w:sz="4" w:space="0"/>
            </w:tcBorders>
            <w:vAlign w:val="center"/>
          </w:tcPr>
          <w:p>
            <w:pPr>
              <w:pStyle w:val="22"/>
              <w:adjustRightInd w:val="0"/>
              <w:snapToGrid w:val="0"/>
              <w:jc w:val="center"/>
              <w:rPr>
                <w:rFonts w:hint="eastAsia" w:ascii="Times New Roman" w:hAnsi="Times New Roman" w:eastAsia="宋体"/>
                <w:b/>
                <w:color w:val="auto"/>
                <w:sz w:val="21"/>
                <w:szCs w:val="21"/>
                <w:highlight w:val="none"/>
                <w:lang w:eastAsia="zh-CN"/>
              </w:rPr>
            </w:pPr>
            <w:r>
              <w:rPr>
                <w:rFonts w:hint="eastAsia" w:ascii="Times New Roman" w:hAnsi="Times New Roman"/>
                <w:b/>
                <w:color w:val="auto"/>
                <w:sz w:val="21"/>
                <w:szCs w:val="21"/>
                <w:highlight w:val="none"/>
                <w:lang w:val="en-US" w:eastAsia="zh-CN"/>
              </w:rPr>
              <w:t>供货期</w:t>
            </w:r>
          </w:p>
        </w:tc>
        <w:tc>
          <w:tcPr>
            <w:tcW w:w="729" w:type="pct"/>
            <w:tcBorders>
              <w:top w:val="single" w:color="auto" w:sz="4" w:space="0"/>
              <w:left w:val="single" w:color="auto" w:sz="4" w:space="0"/>
              <w:right w:val="single" w:color="auto" w:sz="4" w:space="0"/>
            </w:tcBorders>
            <w:vAlign w:val="center"/>
          </w:tcPr>
          <w:p>
            <w:pPr>
              <w:pStyle w:val="22"/>
              <w:adjustRightInd w:val="0"/>
              <w:snapToGrid w:val="0"/>
              <w:jc w:val="center"/>
              <w:rPr>
                <w:rFonts w:ascii="Times New Roman" w:hAnsi="Times New Roman"/>
                <w:b/>
                <w:color w:val="auto"/>
                <w:sz w:val="21"/>
                <w:szCs w:val="21"/>
                <w:highlight w:val="none"/>
              </w:rPr>
            </w:pPr>
            <w:r>
              <w:rPr>
                <w:rFonts w:ascii="Times New Roman" w:hAnsi="Times New Roman"/>
                <w:b/>
                <w:color w:val="auto"/>
                <w:sz w:val="21"/>
                <w:szCs w:val="21"/>
                <w:highlight w:val="none"/>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exact"/>
          <w:jc w:val="center"/>
        </w:trPr>
        <w:tc>
          <w:tcPr>
            <w:tcW w:w="32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Cs w:val="21"/>
                <w:highlight w:val="none"/>
              </w:rPr>
            </w:pPr>
            <w:r>
              <w:rPr>
                <w:color w:val="auto"/>
                <w:szCs w:val="21"/>
                <w:highlight w:val="none"/>
              </w:rPr>
              <w:t>1</w:t>
            </w:r>
          </w:p>
        </w:tc>
        <w:tc>
          <w:tcPr>
            <w:tcW w:w="691" w:type="pct"/>
            <w:tcBorders>
              <w:top w:val="single" w:color="auto" w:sz="4" w:space="0"/>
              <w:left w:val="single" w:color="auto" w:sz="4" w:space="0"/>
              <w:bottom w:val="single" w:color="auto" w:sz="4" w:space="0"/>
              <w:right w:val="single" w:color="auto" w:sz="4" w:space="0"/>
            </w:tcBorders>
            <w:vAlign w:val="center"/>
          </w:tcPr>
          <w:p>
            <w:pPr>
              <w:spacing w:line="440" w:lineRule="exact"/>
              <w:rPr>
                <w:color w:val="auto"/>
                <w:szCs w:val="21"/>
                <w:highlight w:val="none"/>
              </w:rPr>
            </w:pPr>
            <w:r>
              <w:rPr>
                <w:rFonts w:hint="eastAsia" w:eastAsia="宋体"/>
                <w:bCs/>
                <w:color w:val="auto"/>
                <w:szCs w:val="21"/>
                <w:highlight w:val="none"/>
              </w:rPr>
              <w:t>智能化层析分离</w:t>
            </w:r>
            <w:r>
              <w:rPr>
                <w:rFonts w:hint="eastAsia"/>
                <w:bCs/>
                <w:color w:val="auto"/>
                <w:szCs w:val="21"/>
                <w:highlight w:val="none"/>
                <w:lang w:val="en-US" w:eastAsia="zh-CN"/>
              </w:rPr>
              <w:t>中试</w:t>
            </w:r>
            <w:r>
              <w:rPr>
                <w:rFonts w:hint="eastAsia" w:eastAsia="宋体"/>
                <w:bCs/>
                <w:color w:val="auto"/>
                <w:szCs w:val="21"/>
                <w:highlight w:val="none"/>
              </w:rPr>
              <w:t>系统</w:t>
            </w:r>
          </w:p>
        </w:tc>
        <w:tc>
          <w:tcPr>
            <w:tcW w:w="33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bCs/>
                <w:color w:val="auto"/>
                <w:highlight w:val="none"/>
              </w:rPr>
            </w:pPr>
            <w:r>
              <w:rPr>
                <w:rFonts w:hint="eastAsia"/>
                <w:bCs/>
                <w:color w:val="auto"/>
                <w:szCs w:val="21"/>
                <w:highlight w:val="none"/>
                <w:lang w:val="en-US" w:eastAsia="zh-CN"/>
              </w:rPr>
              <w:t>1</w:t>
            </w:r>
            <w:r>
              <w:rPr>
                <w:bCs/>
                <w:color w:val="auto"/>
                <w:szCs w:val="21"/>
                <w:highlight w:val="none"/>
              </w:rPr>
              <w:t>套</w:t>
            </w:r>
          </w:p>
        </w:tc>
        <w:tc>
          <w:tcPr>
            <w:tcW w:w="627"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spacing w:line="360" w:lineRule="exact"/>
              <w:jc w:val="center"/>
              <w:rPr>
                <w:rFonts w:ascii="Times New Roman" w:hAnsi="Times New Roman"/>
                <w:color w:val="auto"/>
                <w:sz w:val="21"/>
                <w:szCs w:val="21"/>
                <w:highlight w:val="none"/>
              </w:rPr>
            </w:pPr>
            <w:r>
              <w:rPr>
                <w:rFonts w:hint="eastAsia" w:ascii="Times New Roman" w:hAnsi="Times New Roman"/>
                <w:color w:val="auto"/>
                <w:sz w:val="21"/>
                <w:szCs w:val="21"/>
                <w:highlight w:val="none"/>
                <w:lang w:val="en-US" w:eastAsia="zh-CN"/>
              </w:rPr>
              <w:t>60</w:t>
            </w:r>
            <w:r>
              <w:rPr>
                <w:rFonts w:ascii="Times New Roman" w:hAnsi="Times New Roman"/>
                <w:color w:val="auto"/>
                <w:sz w:val="21"/>
                <w:szCs w:val="21"/>
                <w:highlight w:val="none"/>
              </w:rPr>
              <w:t>万元</w:t>
            </w:r>
          </w:p>
        </w:tc>
        <w:tc>
          <w:tcPr>
            <w:tcW w:w="544" w:type="pct"/>
            <w:tcBorders>
              <w:left w:val="single" w:color="auto" w:sz="4" w:space="0"/>
              <w:right w:val="single" w:color="auto" w:sz="4" w:space="0"/>
            </w:tcBorders>
            <w:vAlign w:val="center"/>
          </w:tcPr>
          <w:p>
            <w:pPr>
              <w:pStyle w:val="22"/>
              <w:adjustRightInd w:val="0"/>
              <w:snapToGrid w:val="0"/>
              <w:spacing w:line="360" w:lineRule="exact"/>
              <w:jc w:val="center"/>
              <w:rPr>
                <w:rFonts w:ascii="Times New Roman" w:hAnsi="Times New Roman"/>
                <w:color w:val="auto"/>
                <w:sz w:val="21"/>
                <w:szCs w:val="21"/>
                <w:highlight w:val="none"/>
              </w:rPr>
            </w:pPr>
            <w:r>
              <w:rPr>
                <w:rFonts w:ascii="Times New Roman" w:hAnsi="Times New Roman"/>
                <w:color w:val="auto"/>
                <w:sz w:val="21"/>
                <w:szCs w:val="21"/>
                <w:highlight w:val="none"/>
              </w:rPr>
              <w:t>1名</w:t>
            </w:r>
          </w:p>
        </w:tc>
        <w:tc>
          <w:tcPr>
            <w:tcW w:w="1750" w:type="pct"/>
            <w:tcBorders>
              <w:left w:val="single" w:color="auto" w:sz="4" w:space="0"/>
              <w:right w:val="single" w:color="auto" w:sz="4" w:space="0"/>
            </w:tcBorders>
            <w:vAlign w:val="center"/>
          </w:tcPr>
          <w:p>
            <w:pPr>
              <w:pStyle w:val="22"/>
              <w:adjustRightInd w:val="0"/>
              <w:snapToGrid w:val="0"/>
              <w:spacing w:line="360" w:lineRule="exact"/>
              <w:jc w:val="center"/>
              <w:rPr>
                <w:rFonts w:ascii="Times New Roman" w:hAnsi="Times New Roman" w:eastAsia="宋体"/>
                <w:color w:val="auto"/>
                <w:sz w:val="21"/>
                <w:szCs w:val="21"/>
                <w:highlight w:val="none"/>
              </w:rPr>
            </w:pPr>
            <w:r>
              <w:rPr>
                <w:rFonts w:hint="eastAsia" w:ascii="Times New Roman" w:hAnsi="Times New Roman" w:eastAsia="宋体" w:cs="Times New Roman"/>
                <w:bCs/>
                <w:color w:val="auto"/>
                <w:sz w:val="21"/>
                <w:szCs w:val="21"/>
                <w:highlight w:val="none"/>
              </w:rPr>
              <w:t>收到预付款后</w:t>
            </w:r>
            <w:r>
              <w:rPr>
                <w:rFonts w:hint="eastAsia" w:ascii="Times New Roman" w:hAnsi="Times New Roman" w:eastAsia="宋体" w:cs="Times New Roman"/>
                <w:bCs/>
                <w:color w:val="auto"/>
                <w:sz w:val="21"/>
                <w:szCs w:val="21"/>
                <w:highlight w:val="none"/>
                <w:lang w:eastAsia="zh-CN"/>
              </w:rPr>
              <w:t>7</w:t>
            </w:r>
            <w:r>
              <w:rPr>
                <w:rFonts w:hint="eastAsia" w:ascii="Times New Roman" w:hAnsi="Times New Roman" w:cs="Times New Roman"/>
                <w:bCs/>
                <w:color w:val="auto"/>
                <w:sz w:val="21"/>
                <w:szCs w:val="21"/>
                <w:highlight w:val="none"/>
                <w:lang w:val="en-US" w:eastAsia="zh-CN"/>
              </w:rPr>
              <w:t>5</w:t>
            </w:r>
            <w:r>
              <w:rPr>
                <w:rFonts w:hint="eastAsia" w:ascii="Times New Roman" w:hAnsi="Times New Roman" w:eastAsia="宋体" w:cs="Times New Roman"/>
                <w:bCs/>
                <w:color w:val="auto"/>
                <w:sz w:val="21"/>
                <w:szCs w:val="21"/>
                <w:highlight w:val="none"/>
                <w:lang w:eastAsia="zh-CN"/>
              </w:rPr>
              <w:t>个日历日内完成设备加工</w:t>
            </w:r>
            <w:r>
              <w:rPr>
                <w:rFonts w:hint="eastAsia" w:ascii="Times New Roman" w:hAnsi="Times New Roman" w:cs="Times New Roman"/>
                <w:bCs/>
                <w:color w:val="auto"/>
                <w:sz w:val="21"/>
                <w:szCs w:val="21"/>
                <w:highlight w:val="none"/>
                <w:lang w:val="en-US" w:eastAsia="zh-CN"/>
              </w:rPr>
              <w:t>与出厂前调试</w:t>
            </w:r>
            <w:r>
              <w:rPr>
                <w:rFonts w:hint="eastAsia" w:ascii="Times New Roman" w:hAnsi="Times New Roman" w:eastAsia="宋体" w:cs="Times New Roman"/>
                <w:bCs/>
                <w:color w:val="auto"/>
                <w:sz w:val="21"/>
                <w:szCs w:val="21"/>
                <w:highlight w:val="none"/>
                <w:lang w:eastAsia="zh-CN"/>
              </w:rPr>
              <w:t>，设备交付后2</w:t>
            </w:r>
            <w:r>
              <w:rPr>
                <w:rFonts w:hint="eastAsia" w:ascii="Times New Roman" w:hAnsi="Times New Roman" w:cs="Times New Roman"/>
                <w:bCs/>
                <w:color w:val="auto"/>
                <w:sz w:val="21"/>
                <w:szCs w:val="21"/>
                <w:highlight w:val="none"/>
                <w:lang w:val="en-US" w:eastAsia="zh-CN"/>
              </w:rPr>
              <w:t>0</w:t>
            </w:r>
            <w:r>
              <w:rPr>
                <w:rFonts w:hint="eastAsia" w:ascii="Times New Roman" w:hAnsi="Times New Roman" w:eastAsia="宋体" w:cs="Times New Roman"/>
                <w:bCs/>
                <w:color w:val="auto"/>
                <w:sz w:val="21"/>
                <w:szCs w:val="21"/>
                <w:highlight w:val="none"/>
                <w:lang w:eastAsia="zh-CN"/>
              </w:rPr>
              <w:t>个日历日内完成</w:t>
            </w:r>
            <w:r>
              <w:rPr>
                <w:rFonts w:hint="eastAsia" w:ascii="Times New Roman" w:hAnsi="Times New Roman" w:cs="Times New Roman"/>
                <w:bCs/>
                <w:color w:val="auto"/>
                <w:sz w:val="21"/>
                <w:szCs w:val="21"/>
                <w:highlight w:val="none"/>
                <w:lang w:val="en-US" w:eastAsia="zh-CN"/>
              </w:rPr>
              <w:t>中试现场</w:t>
            </w:r>
            <w:r>
              <w:rPr>
                <w:rFonts w:hint="eastAsia" w:ascii="Times New Roman" w:hAnsi="Times New Roman" w:eastAsia="宋体" w:cs="Times New Roman"/>
                <w:bCs/>
                <w:color w:val="auto"/>
                <w:sz w:val="21"/>
                <w:szCs w:val="21"/>
                <w:highlight w:val="none"/>
                <w:lang w:eastAsia="zh-CN"/>
              </w:rPr>
              <w:t>设备安装调试。</w:t>
            </w:r>
          </w:p>
        </w:tc>
        <w:tc>
          <w:tcPr>
            <w:tcW w:w="729" w:type="pct"/>
            <w:tcBorders>
              <w:left w:val="single" w:color="auto" w:sz="4" w:space="0"/>
              <w:right w:val="single" w:color="auto" w:sz="4" w:space="0"/>
            </w:tcBorders>
            <w:vAlign w:val="center"/>
          </w:tcPr>
          <w:p>
            <w:pPr>
              <w:pStyle w:val="22"/>
              <w:adjustRightInd w:val="0"/>
              <w:snapToGrid w:val="0"/>
              <w:spacing w:line="360" w:lineRule="exact"/>
              <w:jc w:val="center"/>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采购人指定地点（重庆）。</w:t>
            </w:r>
          </w:p>
        </w:tc>
      </w:tr>
    </w:tbl>
    <w:p>
      <w:pPr>
        <w:snapToGrid w:val="0"/>
        <w:spacing w:line="440" w:lineRule="exact"/>
        <w:ind w:firstLine="420" w:firstLineChars="200"/>
        <w:rPr>
          <w:color w:val="auto"/>
          <w:szCs w:val="21"/>
          <w:highlight w:val="none"/>
        </w:rPr>
      </w:pPr>
      <w:r>
        <w:rPr>
          <w:color w:val="auto"/>
          <w:szCs w:val="21"/>
          <w:highlight w:val="none"/>
        </w:rPr>
        <w:t>最高限价：</w:t>
      </w:r>
      <w:r>
        <w:rPr>
          <w:rFonts w:hint="eastAsia"/>
          <w:color w:val="auto"/>
          <w:szCs w:val="21"/>
          <w:highlight w:val="none"/>
          <w:u w:val="single"/>
          <w:lang w:val="en-US" w:eastAsia="zh-CN"/>
        </w:rPr>
        <w:t>60</w:t>
      </w:r>
      <w:r>
        <w:rPr>
          <w:color w:val="auto"/>
          <w:szCs w:val="21"/>
          <w:highlight w:val="none"/>
        </w:rPr>
        <w:t>万元。</w:t>
      </w:r>
    </w:p>
    <w:p>
      <w:pPr>
        <w:snapToGrid w:val="0"/>
        <w:spacing w:line="440" w:lineRule="exact"/>
        <w:ind w:firstLine="422" w:firstLineChars="200"/>
        <w:rPr>
          <w:color w:val="auto"/>
          <w:szCs w:val="21"/>
          <w:highlight w:val="none"/>
        </w:rPr>
      </w:pPr>
      <w:r>
        <w:rPr>
          <w:b/>
          <w:color w:val="auto"/>
          <w:szCs w:val="21"/>
          <w:highlight w:val="none"/>
        </w:rPr>
        <w:t>3．供应商资格要求</w:t>
      </w:r>
      <w:r>
        <w:rPr>
          <w:color w:val="auto"/>
          <w:szCs w:val="21"/>
          <w:highlight w:val="none"/>
        </w:rPr>
        <w:t>：</w:t>
      </w:r>
    </w:p>
    <w:p>
      <w:pPr>
        <w:snapToGrid w:val="0"/>
        <w:spacing w:line="440" w:lineRule="exact"/>
        <w:ind w:left="420" w:leftChars="200"/>
        <w:rPr>
          <w:rFonts w:hint="eastAsia" w:eastAsia="宋体"/>
          <w:b/>
          <w:bCs/>
          <w:color w:val="auto"/>
          <w:szCs w:val="21"/>
          <w:highlight w:val="none"/>
          <w:lang w:eastAsia="zh-CN"/>
        </w:rPr>
      </w:pPr>
      <w:r>
        <w:rPr>
          <w:b/>
          <w:bCs/>
          <w:color w:val="auto"/>
          <w:szCs w:val="21"/>
          <w:highlight w:val="none"/>
        </w:rPr>
        <w:t>3.1满足《中华人民共和国政府采购法》第二十二条</w:t>
      </w:r>
      <w:r>
        <w:rPr>
          <w:rFonts w:hint="eastAsia"/>
          <w:b/>
          <w:bCs/>
          <w:color w:val="auto"/>
          <w:szCs w:val="21"/>
          <w:highlight w:val="none"/>
          <w:lang w:val="en-US" w:eastAsia="zh-CN"/>
        </w:rPr>
        <w:t>规定；</w:t>
      </w:r>
      <w:r>
        <w:rPr>
          <w:color w:val="auto"/>
          <w:szCs w:val="21"/>
          <w:highlight w:val="none"/>
        </w:rPr>
        <w:br w:type="textWrapping"/>
      </w:r>
      <w:r>
        <w:rPr>
          <w:b/>
          <w:bCs/>
          <w:color w:val="auto"/>
          <w:szCs w:val="21"/>
          <w:highlight w:val="none"/>
        </w:rPr>
        <w:t>3.2落实政府采购政策需满足的资格要求：无</w:t>
      </w:r>
      <w:r>
        <w:rPr>
          <w:rFonts w:hint="eastAsia"/>
          <w:b/>
          <w:bCs/>
          <w:color w:val="auto"/>
          <w:szCs w:val="21"/>
          <w:highlight w:val="none"/>
          <w:lang w:eastAsia="zh-CN"/>
        </w:rPr>
        <w:t>；</w:t>
      </w:r>
    </w:p>
    <w:p>
      <w:pPr>
        <w:snapToGrid w:val="0"/>
        <w:spacing w:line="440" w:lineRule="exact"/>
        <w:ind w:left="420" w:leftChars="200"/>
        <w:rPr>
          <w:b/>
          <w:bCs/>
          <w:color w:val="auto"/>
          <w:szCs w:val="21"/>
          <w:highlight w:val="none"/>
        </w:rPr>
      </w:pPr>
      <w:r>
        <w:rPr>
          <w:b/>
          <w:bCs/>
          <w:color w:val="auto"/>
          <w:szCs w:val="21"/>
          <w:highlight w:val="none"/>
        </w:rPr>
        <w:t>3.3满足本项目的特定资格要求：</w:t>
      </w:r>
      <w:r>
        <w:rPr>
          <w:rFonts w:hint="eastAsia"/>
          <w:b/>
          <w:bCs/>
          <w:color w:val="auto"/>
          <w:szCs w:val="21"/>
          <w:highlight w:val="none"/>
          <w:lang w:val="en-US" w:eastAsia="zh-CN"/>
        </w:rPr>
        <w:t>无</w:t>
      </w:r>
      <w:r>
        <w:rPr>
          <w:b/>
          <w:bCs/>
          <w:color w:val="auto"/>
          <w:szCs w:val="21"/>
          <w:highlight w:val="none"/>
        </w:rPr>
        <w:t>。</w:t>
      </w:r>
    </w:p>
    <w:p>
      <w:pPr>
        <w:snapToGrid w:val="0"/>
        <w:spacing w:line="440" w:lineRule="exact"/>
        <w:ind w:firstLine="422" w:firstLineChars="200"/>
        <w:rPr>
          <w:color w:val="auto"/>
          <w:szCs w:val="21"/>
          <w:highlight w:val="none"/>
        </w:rPr>
      </w:pPr>
      <w:r>
        <w:rPr>
          <w:b/>
          <w:color w:val="auto"/>
          <w:szCs w:val="21"/>
          <w:highlight w:val="none"/>
        </w:rPr>
        <w:t>4．评比</w:t>
      </w:r>
      <w:r>
        <w:rPr>
          <w:rFonts w:hint="eastAsia"/>
          <w:b/>
          <w:color w:val="auto"/>
          <w:szCs w:val="21"/>
          <w:highlight w:val="none"/>
          <w:lang w:val="en-US" w:eastAsia="zh-CN"/>
        </w:rPr>
        <w:t>文件发售</w:t>
      </w:r>
      <w:r>
        <w:rPr>
          <w:b/>
          <w:color w:val="auto"/>
          <w:szCs w:val="21"/>
          <w:highlight w:val="none"/>
        </w:rPr>
        <w:t>时间及购买评比文件方式</w:t>
      </w:r>
      <w:r>
        <w:rPr>
          <w:color w:val="auto"/>
          <w:szCs w:val="21"/>
          <w:highlight w:val="none"/>
        </w:rPr>
        <w:t>：</w:t>
      </w:r>
    </w:p>
    <w:p>
      <w:pPr>
        <w:snapToGrid w:val="0"/>
        <w:spacing w:line="440" w:lineRule="exact"/>
        <w:ind w:firstLine="420" w:firstLineChars="200"/>
        <w:rPr>
          <w:color w:val="auto"/>
          <w:szCs w:val="21"/>
          <w:highlight w:val="none"/>
        </w:rPr>
      </w:pPr>
      <w:r>
        <w:rPr>
          <w:color w:val="auto"/>
          <w:szCs w:val="21"/>
          <w:highlight w:val="none"/>
        </w:rPr>
        <w:t>4.1凡有意参加评比的供应商，请在《中国政府采购网》（http://www.ccgp. gov.cn）网上下载本项目评比文件、评比文件发售登记表以及图纸、澄清等开标前公布的所有项目资料，无论供应商下载与否，均视为已知晓所有评比内容。</w:t>
      </w:r>
    </w:p>
    <w:p>
      <w:pPr>
        <w:snapToGrid w:val="0"/>
        <w:spacing w:line="440" w:lineRule="exact"/>
        <w:ind w:firstLine="420" w:firstLineChars="200"/>
        <w:rPr>
          <w:color w:val="auto"/>
          <w:szCs w:val="21"/>
          <w:highlight w:val="none"/>
        </w:rPr>
      </w:pPr>
      <w:r>
        <w:rPr>
          <w:color w:val="auto"/>
          <w:szCs w:val="21"/>
          <w:highlight w:val="none"/>
        </w:rPr>
        <w:t>4.2评比文件发售期：202</w:t>
      </w:r>
      <w:r>
        <w:rPr>
          <w:rFonts w:hint="eastAsia"/>
          <w:color w:val="auto"/>
          <w:szCs w:val="21"/>
          <w:highlight w:val="none"/>
          <w:lang w:val="en-US" w:eastAsia="zh-CN"/>
        </w:rPr>
        <w:t>3</w:t>
      </w:r>
      <w:r>
        <w:rPr>
          <w:color w:val="auto"/>
          <w:szCs w:val="21"/>
          <w:highlight w:val="none"/>
        </w:rPr>
        <w:t>年</w:t>
      </w:r>
      <w:r>
        <w:rPr>
          <w:rFonts w:hint="eastAsia"/>
          <w:color w:val="auto"/>
          <w:szCs w:val="21"/>
          <w:highlight w:val="none"/>
          <w:lang w:val="en-US" w:eastAsia="zh-CN"/>
        </w:rPr>
        <w:t>5</w:t>
      </w:r>
      <w:r>
        <w:rPr>
          <w:color w:val="auto"/>
          <w:szCs w:val="21"/>
          <w:highlight w:val="none"/>
        </w:rPr>
        <w:t>月</w:t>
      </w:r>
      <w:r>
        <w:rPr>
          <w:rFonts w:hint="eastAsia"/>
          <w:color w:val="auto"/>
          <w:szCs w:val="21"/>
          <w:highlight w:val="none"/>
          <w:lang w:val="en-US" w:eastAsia="zh-CN"/>
        </w:rPr>
        <w:t>15</w:t>
      </w:r>
      <w:r>
        <w:rPr>
          <w:color w:val="auto"/>
          <w:szCs w:val="21"/>
          <w:highlight w:val="none"/>
        </w:rPr>
        <w:t>日--202</w:t>
      </w:r>
      <w:r>
        <w:rPr>
          <w:rFonts w:hint="eastAsia"/>
          <w:color w:val="auto"/>
          <w:szCs w:val="21"/>
          <w:highlight w:val="none"/>
          <w:lang w:val="en-US" w:eastAsia="zh-CN"/>
        </w:rPr>
        <w:t>3</w:t>
      </w:r>
      <w:r>
        <w:rPr>
          <w:color w:val="auto"/>
          <w:szCs w:val="21"/>
          <w:highlight w:val="none"/>
        </w:rPr>
        <w:t>年</w:t>
      </w:r>
      <w:r>
        <w:rPr>
          <w:rFonts w:hint="eastAsia"/>
          <w:color w:val="auto"/>
          <w:szCs w:val="21"/>
          <w:highlight w:val="none"/>
          <w:lang w:val="en-US" w:eastAsia="zh-CN"/>
        </w:rPr>
        <w:t>5</w:t>
      </w:r>
      <w:r>
        <w:rPr>
          <w:color w:val="auto"/>
          <w:szCs w:val="21"/>
          <w:highlight w:val="none"/>
        </w:rPr>
        <w:t>月</w:t>
      </w:r>
      <w:r>
        <w:rPr>
          <w:rFonts w:hint="eastAsia"/>
          <w:color w:val="auto"/>
          <w:szCs w:val="21"/>
          <w:highlight w:val="none"/>
          <w:lang w:val="en-US" w:eastAsia="zh-CN"/>
        </w:rPr>
        <w:t>18</w:t>
      </w:r>
      <w:r>
        <w:rPr>
          <w:color w:val="auto"/>
          <w:szCs w:val="21"/>
          <w:highlight w:val="none"/>
        </w:rPr>
        <w:t>日1</w:t>
      </w:r>
      <w:r>
        <w:rPr>
          <w:rFonts w:hint="eastAsia"/>
          <w:color w:val="auto"/>
          <w:szCs w:val="21"/>
          <w:highlight w:val="none"/>
          <w:lang w:val="en-US" w:eastAsia="zh-CN"/>
        </w:rPr>
        <w:t>8</w:t>
      </w:r>
      <w:r>
        <w:rPr>
          <w:color w:val="auto"/>
          <w:szCs w:val="21"/>
          <w:highlight w:val="none"/>
        </w:rPr>
        <w:t>：00（工作时间）。</w:t>
      </w:r>
    </w:p>
    <w:p>
      <w:pPr>
        <w:snapToGrid w:val="0"/>
        <w:spacing w:line="440" w:lineRule="exact"/>
        <w:ind w:firstLine="420" w:firstLineChars="200"/>
        <w:rPr>
          <w:color w:val="auto"/>
          <w:szCs w:val="21"/>
          <w:highlight w:val="none"/>
        </w:rPr>
      </w:pPr>
      <w:r>
        <w:rPr>
          <w:color w:val="auto"/>
          <w:szCs w:val="21"/>
          <w:highlight w:val="none"/>
        </w:rPr>
        <w:t>4.3购买评比文件方式：在评比文件发售期内，供应商将评比文件购买费用以微信或支付宝转账方式汇至以下指定账户，转账成功后，需将转账截图和《评比文件发售登记表》（加盖公章）扫描件一起发送至采购代理机构</w:t>
      </w:r>
      <w:r>
        <w:rPr>
          <w:color w:val="auto"/>
          <w:szCs w:val="21"/>
          <w:highlight w:val="none"/>
          <w:u w:val="single"/>
        </w:rPr>
        <w:t>515571653@qq.com</w:t>
      </w:r>
      <w:r>
        <w:rPr>
          <w:color w:val="auto"/>
          <w:szCs w:val="21"/>
          <w:highlight w:val="none"/>
        </w:rPr>
        <w:t>邮箱进行确认（注：转账汇款时需按要求备注单位名称、项目名称和资料费等信息）。</w:t>
      </w:r>
    </w:p>
    <w:p>
      <w:pPr>
        <w:shd w:val="clear" w:color="auto" w:fill="FFFFFF"/>
        <w:spacing w:line="360" w:lineRule="auto"/>
        <w:ind w:firstLine="720"/>
        <w:rPr>
          <w:color w:val="auto"/>
          <w:szCs w:val="21"/>
          <w:highlight w:val="none"/>
        </w:rPr>
      </w:pPr>
      <w:r>
        <w:rPr>
          <w:color w:val="auto"/>
          <w:szCs w:val="21"/>
          <w:highlight w:val="none"/>
        </w:rPr>
        <w:t>二维码收款账户：</w:t>
      </w:r>
    </w:p>
    <w:p>
      <w:pPr>
        <w:shd w:val="clear" w:color="auto" w:fill="FFFFFF"/>
        <w:spacing w:line="360" w:lineRule="auto"/>
        <w:ind w:firstLine="720"/>
        <w:rPr>
          <w:color w:val="auto"/>
          <w:szCs w:val="21"/>
          <w:highlight w:val="none"/>
        </w:rPr>
      </w:pPr>
      <w:r>
        <w:rPr>
          <w:color w:val="auto"/>
          <w:szCs w:val="21"/>
          <w:highlight w:val="none"/>
        </w:rPr>
        <w:drawing>
          <wp:inline distT="0" distB="0" distL="0" distR="0">
            <wp:extent cx="1412240" cy="17576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t="4124" b="1031"/>
                    <a:stretch>
                      <a:fillRect/>
                    </a:stretch>
                  </pic:blipFill>
                  <pic:spPr>
                    <a:xfrm>
                      <a:off x="0" y="0"/>
                      <a:ext cx="1412240" cy="1757680"/>
                    </a:xfrm>
                    <a:prstGeom prst="rect">
                      <a:avLst/>
                    </a:prstGeom>
                    <a:noFill/>
                    <a:ln>
                      <a:noFill/>
                    </a:ln>
                  </pic:spPr>
                </pic:pic>
              </a:graphicData>
            </a:graphic>
          </wp:inline>
        </w:drawing>
      </w:r>
    </w:p>
    <w:p>
      <w:pPr>
        <w:adjustRightInd w:val="0"/>
        <w:snapToGrid w:val="0"/>
        <w:spacing w:line="440" w:lineRule="exact"/>
        <w:ind w:firstLine="420" w:firstLineChars="200"/>
        <w:rPr>
          <w:color w:val="auto"/>
          <w:szCs w:val="21"/>
          <w:highlight w:val="none"/>
        </w:rPr>
      </w:pPr>
      <w:r>
        <w:rPr>
          <w:color w:val="auto"/>
          <w:szCs w:val="21"/>
          <w:highlight w:val="none"/>
        </w:rPr>
        <w:t>4.4评比文件费：</w:t>
      </w:r>
      <w:r>
        <w:rPr>
          <w:color w:val="auto"/>
          <w:szCs w:val="21"/>
          <w:highlight w:val="none"/>
          <w:u w:val="single"/>
        </w:rPr>
        <w:t>500</w:t>
      </w:r>
      <w:r>
        <w:rPr>
          <w:color w:val="auto"/>
          <w:szCs w:val="21"/>
          <w:highlight w:val="none"/>
        </w:rPr>
        <w:t>元/份（售后不退）。评比供应商自行在《中国政府采购网》上下载本项目评比文件。在评比文件发售期内购买了评比文件的供应商，其响应文件才被接收。</w:t>
      </w:r>
    </w:p>
    <w:p>
      <w:pPr>
        <w:adjustRightInd w:val="0"/>
        <w:snapToGrid w:val="0"/>
        <w:spacing w:line="440" w:lineRule="exact"/>
        <w:ind w:firstLine="422" w:firstLineChars="200"/>
        <w:rPr>
          <w:color w:val="auto"/>
          <w:szCs w:val="21"/>
          <w:highlight w:val="none"/>
        </w:rPr>
      </w:pPr>
      <w:r>
        <w:rPr>
          <w:b/>
          <w:color w:val="auto"/>
          <w:szCs w:val="21"/>
          <w:highlight w:val="none"/>
        </w:rPr>
        <w:t>5．评比时间</w:t>
      </w:r>
      <w:r>
        <w:rPr>
          <w:color w:val="auto"/>
          <w:szCs w:val="21"/>
          <w:highlight w:val="none"/>
        </w:rPr>
        <w:t>：202</w:t>
      </w:r>
      <w:r>
        <w:rPr>
          <w:rFonts w:hint="eastAsia"/>
          <w:color w:val="auto"/>
          <w:szCs w:val="21"/>
          <w:highlight w:val="none"/>
          <w:lang w:val="en-US" w:eastAsia="zh-CN"/>
        </w:rPr>
        <w:t>3</w:t>
      </w:r>
      <w:r>
        <w:rPr>
          <w:color w:val="auto"/>
          <w:szCs w:val="21"/>
          <w:highlight w:val="none"/>
        </w:rPr>
        <w:t>年</w:t>
      </w:r>
      <w:r>
        <w:rPr>
          <w:rFonts w:hint="eastAsia"/>
          <w:color w:val="auto"/>
          <w:szCs w:val="21"/>
          <w:highlight w:val="none"/>
          <w:lang w:val="en-US" w:eastAsia="zh-CN"/>
        </w:rPr>
        <w:t>5</w:t>
      </w:r>
      <w:r>
        <w:rPr>
          <w:color w:val="auto"/>
          <w:szCs w:val="21"/>
          <w:highlight w:val="none"/>
        </w:rPr>
        <w:t>月</w:t>
      </w:r>
      <w:r>
        <w:rPr>
          <w:rFonts w:hint="eastAsia"/>
          <w:color w:val="auto"/>
          <w:szCs w:val="21"/>
          <w:highlight w:val="none"/>
          <w:lang w:val="en-US" w:eastAsia="zh-CN"/>
        </w:rPr>
        <w:t>26</w:t>
      </w:r>
      <w:r>
        <w:rPr>
          <w:color w:val="auto"/>
          <w:szCs w:val="21"/>
          <w:highlight w:val="none"/>
        </w:rPr>
        <w:t>日</w:t>
      </w:r>
      <w:r>
        <w:rPr>
          <w:rFonts w:hint="eastAsia"/>
          <w:color w:val="auto"/>
          <w:szCs w:val="21"/>
          <w:highlight w:val="none"/>
          <w:lang w:val="en-US" w:eastAsia="zh-CN"/>
        </w:rPr>
        <w:t>下</w:t>
      </w:r>
      <w:r>
        <w:rPr>
          <w:color w:val="auto"/>
          <w:szCs w:val="21"/>
          <w:highlight w:val="none"/>
        </w:rPr>
        <w:t>午1</w:t>
      </w:r>
      <w:r>
        <w:rPr>
          <w:rFonts w:hint="eastAsia"/>
          <w:color w:val="auto"/>
          <w:szCs w:val="21"/>
          <w:highlight w:val="none"/>
          <w:lang w:val="en-US" w:eastAsia="zh-CN"/>
        </w:rPr>
        <w:t>4</w:t>
      </w:r>
      <w:r>
        <w:rPr>
          <w:color w:val="auto"/>
          <w:szCs w:val="21"/>
          <w:highlight w:val="none"/>
        </w:rPr>
        <w:t>:</w:t>
      </w:r>
      <w:r>
        <w:rPr>
          <w:rFonts w:hint="eastAsia"/>
          <w:color w:val="auto"/>
          <w:szCs w:val="21"/>
          <w:highlight w:val="none"/>
          <w:lang w:val="en-US" w:eastAsia="zh-CN"/>
        </w:rPr>
        <w:t>3</w:t>
      </w:r>
      <w:r>
        <w:rPr>
          <w:color w:val="auto"/>
          <w:szCs w:val="21"/>
          <w:highlight w:val="none"/>
        </w:rPr>
        <w:t>0（北京时间）</w:t>
      </w:r>
      <w:bookmarkStart w:id="77" w:name="_GoBack"/>
      <w:bookmarkEnd w:id="77"/>
      <w:r>
        <w:rPr>
          <w:color w:val="auto"/>
          <w:szCs w:val="21"/>
          <w:highlight w:val="none"/>
        </w:rPr>
        <w:t>。</w:t>
      </w:r>
    </w:p>
    <w:p>
      <w:pPr>
        <w:adjustRightInd w:val="0"/>
        <w:snapToGrid w:val="0"/>
        <w:spacing w:line="440" w:lineRule="exact"/>
        <w:ind w:firstLine="422" w:firstLineChars="200"/>
        <w:rPr>
          <w:color w:val="auto"/>
          <w:szCs w:val="21"/>
          <w:highlight w:val="none"/>
        </w:rPr>
      </w:pPr>
      <w:r>
        <w:rPr>
          <w:b/>
          <w:color w:val="auto"/>
          <w:szCs w:val="21"/>
          <w:highlight w:val="none"/>
        </w:rPr>
        <w:t>6．评比地点：</w:t>
      </w:r>
      <w:r>
        <w:rPr>
          <w:color w:val="auto"/>
          <w:szCs w:val="21"/>
          <w:highlight w:val="none"/>
        </w:rPr>
        <w:t>重庆市渝中区双钢路1号8号楼1楼（重庆赛迪工程咨询有限公司会议中心）。</w:t>
      </w:r>
    </w:p>
    <w:p>
      <w:pPr>
        <w:pStyle w:val="22"/>
        <w:adjustRightInd w:val="0"/>
        <w:snapToGrid w:val="0"/>
        <w:spacing w:line="440" w:lineRule="exact"/>
        <w:ind w:firstLine="381" w:firstLineChars="200"/>
        <w:rPr>
          <w:rFonts w:ascii="Times New Roman" w:hAnsi="Times New Roman"/>
          <w:color w:val="auto"/>
          <w:sz w:val="21"/>
          <w:szCs w:val="21"/>
          <w:highlight w:val="none"/>
        </w:rPr>
      </w:pPr>
      <w:r>
        <w:rPr>
          <w:rFonts w:ascii="Times New Roman" w:hAnsi="Times New Roman"/>
          <w:b/>
          <w:color w:val="auto"/>
          <w:szCs w:val="21"/>
          <w:highlight w:val="none"/>
        </w:rPr>
        <w:t>7．响应文件的递交</w:t>
      </w:r>
      <w:r>
        <w:rPr>
          <w:rFonts w:ascii="Times New Roman" w:hAnsi="Times New Roman"/>
          <w:color w:val="auto"/>
          <w:szCs w:val="21"/>
          <w:highlight w:val="none"/>
        </w:rPr>
        <w:t>：</w:t>
      </w:r>
      <w:r>
        <w:rPr>
          <w:rFonts w:ascii="Times New Roman" w:hAnsi="Times New Roman"/>
          <w:color w:val="auto"/>
          <w:sz w:val="21"/>
          <w:szCs w:val="21"/>
          <w:highlight w:val="none"/>
        </w:rPr>
        <w:t>评比响应文件须密封后于（评比当日）评比时间前递至评比地点，逾期送达或密封不符合规定的评比响应文件恕不接受。</w:t>
      </w:r>
    </w:p>
    <w:p>
      <w:pPr>
        <w:adjustRightInd w:val="0"/>
        <w:snapToGrid w:val="0"/>
        <w:spacing w:line="440" w:lineRule="exact"/>
        <w:ind w:firstLine="422" w:firstLineChars="200"/>
        <w:rPr>
          <w:b/>
          <w:bCs/>
          <w:color w:val="auto"/>
          <w:szCs w:val="21"/>
          <w:highlight w:val="none"/>
        </w:rPr>
      </w:pPr>
      <w:r>
        <w:rPr>
          <w:b/>
          <w:bCs/>
          <w:color w:val="auto"/>
          <w:szCs w:val="21"/>
          <w:highlight w:val="none"/>
        </w:rPr>
        <w:t>注：外地供应商可通过邮寄方式递交响应文件，以邮寄方式递交响应文件的供应商应将响应文件用内、外两层信封密封，按评比文件中的总则第14款“评比响应文件的装订、密封和标记”执行。响应文件须于递交截止时间前送达，收件地址：重庆市渝中区双钢路1号 ，收件人：文老师，联系电话：15086825512。</w:t>
      </w:r>
    </w:p>
    <w:p>
      <w:pPr>
        <w:snapToGrid w:val="0"/>
        <w:spacing w:line="440" w:lineRule="exact"/>
        <w:ind w:firstLine="422" w:firstLineChars="200"/>
        <w:rPr>
          <w:b/>
          <w:bCs/>
          <w:color w:val="auto"/>
          <w:szCs w:val="21"/>
          <w:highlight w:val="none"/>
        </w:rPr>
      </w:pPr>
      <w:r>
        <w:rPr>
          <w:b/>
          <w:bCs/>
          <w:color w:val="auto"/>
          <w:szCs w:val="21"/>
          <w:highlight w:val="none"/>
        </w:rPr>
        <w:t>8.评比的有关规定</w:t>
      </w:r>
    </w:p>
    <w:p>
      <w:pPr>
        <w:snapToGrid w:val="0"/>
        <w:spacing w:line="440" w:lineRule="exact"/>
        <w:ind w:firstLine="420" w:firstLineChars="200"/>
        <w:rPr>
          <w:color w:val="auto"/>
          <w:szCs w:val="21"/>
          <w:highlight w:val="none"/>
        </w:rPr>
      </w:pPr>
      <w:r>
        <w:rPr>
          <w:color w:val="auto"/>
          <w:szCs w:val="21"/>
          <w:highlight w:val="none"/>
        </w:rPr>
        <w:t>8.1单位负责人为同一人或者存在直接控股、管理关系的不同供应商，不得参加同一合同项（分包）下的政府采购活动。</w:t>
      </w:r>
    </w:p>
    <w:p>
      <w:pPr>
        <w:snapToGrid w:val="0"/>
        <w:spacing w:line="440" w:lineRule="exact"/>
        <w:ind w:firstLine="420" w:firstLineChars="200"/>
        <w:rPr>
          <w:color w:val="auto"/>
          <w:szCs w:val="21"/>
          <w:highlight w:val="none"/>
        </w:rPr>
      </w:pPr>
      <w:r>
        <w:rPr>
          <w:color w:val="auto"/>
          <w:szCs w:val="21"/>
          <w:highlight w:val="none"/>
        </w:rPr>
        <w:t>8.2为采购项目提供整体设计、规范编制或者项目管理、监理、检测等服务的供应商，不得再参加该采购项目的其他采购活动。</w:t>
      </w:r>
    </w:p>
    <w:p>
      <w:pPr>
        <w:snapToGrid w:val="0"/>
        <w:spacing w:line="440" w:lineRule="exact"/>
        <w:ind w:firstLine="420" w:firstLineChars="200"/>
        <w:rPr>
          <w:color w:val="auto"/>
          <w:szCs w:val="21"/>
          <w:highlight w:val="none"/>
        </w:rPr>
      </w:pPr>
      <w:r>
        <w:rPr>
          <w:color w:val="auto"/>
          <w:szCs w:val="21"/>
          <w:highlight w:val="none"/>
        </w:rPr>
        <w:t>8.3响应费用：无论评选结果如何，供应商参与本项目评比的所有费用均应由供应商自行承担。</w:t>
      </w:r>
    </w:p>
    <w:p>
      <w:pPr>
        <w:snapToGrid w:val="0"/>
        <w:spacing w:line="440" w:lineRule="exact"/>
        <w:ind w:firstLine="420" w:firstLineChars="200"/>
        <w:rPr>
          <w:color w:val="auto"/>
          <w:szCs w:val="21"/>
          <w:highlight w:val="none"/>
        </w:rPr>
      </w:pPr>
      <w:r>
        <w:rPr>
          <w:color w:val="auto"/>
          <w:szCs w:val="21"/>
          <w:highlight w:val="none"/>
        </w:rPr>
        <w:t>8.4本项目不接受联合体参与响应。</w:t>
      </w:r>
    </w:p>
    <w:p>
      <w:pPr>
        <w:snapToGrid w:val="0"/>
        <w:spacing w:line="440" w:lineRule="exact"/>
        <w:ind w:firstLine="420" w:firstLineChars="200"/>
        <w:rPr>
          <w:color w:val="auto"/>
          <w:szCs w:val="21"/>
          <w:highlight w:val="none"/>
        </w:rPr>
      </w:pPr>
      <w:r>
        <w:rPr>
          <w:color w:val="auto"/>
          <w:szCs w:val="21"/>
          <w:highlight w:val="none"/>
        </w:rPr>
        <w:t>8.5本项目不接受合同分包。</w:t>
      </w:r>
    </w:p>
    <w:p>
      <w:pPr>
        <w:adjustRightInd w:val="0"/>
        <w:snapToGrid w:val="0"/>
        <w:spacing w:line="440" w:lineRule="exact"/>
        <w:ind w:firstLine="420" w:firstLineChars="200"/>
        <w:rPr>
          <w:b/>
          <w:bCs/>
          <w:color w:val="auto"/>
          <w:szCs w:val="21"/>
          <w:highlight w:val="none"/>
        </w:rPr>
      </w:pPr>
      <w:bookmarkStart w:id="2" w:name="OLE_LINK1"/>
      <w:bookmarkStart w:id="3" w:name="OLE_LINK2"/>
      <w:r>
        <w:rPr>
          <w:color w:val="auto"/>
          <w:szCs w:val="21"/>
          <w:highlight w:val="none"/>
        </w:rPr>
        <w:t>8.6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w:t>
      </w:r>
      <w:bookmarkEnd w:id="2"/>
      <w:bookmarkEnd w:id="3"/>
      <w:r>
        <w:rPr>
          <w:color w:val="auto"/>
          <w:szCs w:val="21"/>
          <w:highlight w:val="none"/>
        </w:rPr>
        <w:t>供应商，将拒绝其参与本项目采购活动。</w:t>
      </w:r>
    </w:p>
    <w:p>
      <w:pPr>
        <w:adjustRightInd w:val="0"/>
        <w:snapToGrid w:val="0"/>
        <w:spacing w:line="440" w:lineRule="exact"/>
        <w:ind w:firstLine="422" w:firstLineChars="200"/>
        <w:rPr>
          <w:color w:val="auto"/>
          <w:szCs w:val="21"/>
          <w:highlight w:val="none"/>
        </w:rPr>
      </w:pPr>
      <w:r>
        <w:rPr>
          <w:b/>
          <w:color w:val="auto"/>
          <w:szCs w:val="21"/>
          <w:highlight w:val="none"/>
        </w:rPr>
        <w:t>9．评分方法：</w:t>
      </w:r>
      <w:r>
        <w:rPr>
          <w:color w:val="auto"/>
          <w:szCs w:val="21"/>
          <w:highlight w:val="none"/>
        </w:rPr>
        <w:t>综合评分法</w:t>
      </w:r>
    </w:p>
    <w:p>
      <w:pPr>
        <w:adjustRightInd w:val="0"/>
        <w:snapToGrid w:val="0"/>
        <w:spacing w:line="440" w:lineRule="exact"/>
        <w:ind w:firstLine="422" w:firstLineChars="200"/>
        <w:rPr>
          <w:b/>
          <w:color w:val="auto"/>
          <w:szCs w:val="21"/>
          <w:highlight w:val="none"/>
        </w:rPr>
      </w:pPr>
      <w:r>
        <w:rPr>
          <w:b/>
          <w:color w:val="auto"/>
          <w:szCs w:val="21"/>
          <w:highlight w:val="none"/>
        </w:rPr>
        <w:t>10．联系人和联系方式</w:t>
      </w:r>
    </w:p>
    <w:p>
      <w:pPr>
        <w:adjustRightInd w:val="0"/>
        <w:snapToGrid w:val="0"/>
        <w:spacing w:line="440" w:lineRule="exact"/>
        <w:ind w:firstLine="422" w:firstLineChars="200"/>
        <w:rPr>
          <w:rFonts w:hint="eastAsia" w:eastAsia="宋体"/>
          <w:color w:val="auto"/>
          <w:szCs w:val="21"/>
          <w:highlight w:val="none"/>
          <w:lang w:eastAsia="zh-CN"/>
        </w:rPr>
      </w:pPr>
      <w:r>
        <w:rPr>
          <w:b/>
          <w:color w:val="auto"/>
          <w:szCs w:val="21"/>
          <w:highlight w:val="none"/>
        </w:rPr>
        <w:t>采购人：</w:t>
      </w:r>
      <w:r>
        <w:rPr>
          <w:rFonts w:hint="eastAsia"/>
          <w:color w:val="auto"/>
          <w:szCs w:val="21"/>
          <w:highlight w:val="none"/>
          <w:lang w:eastAsia="zh-CN"/>
        </w:rPr>
        <w:t>哈尔滨工业大学重庆研究院</w:t>
      </w:r>
    </w:p>
    <w:p>
      <w:pPr>
        <w:snapToGrid w:val="0"/>
        <w:spacing w:line="440" w:lineRule="exact"/>
        <w:ind w:firstLine="420" w:firstLineChars="200"/>
        <w:rPr>
          <w:bCs/>
          <w:color w:val="auto"/>
          <w:szCs w:val="21"/>
          <w:highlight w:val="none"/>
        </w:rPr>
      </w:pPr>
      <w:r>
        <w:rPr>
          <w:bCs/>
          <w:color w:val="auto"/>
          <w:szCs w:val="21"/>
          <w:highlight w:val="none"/>
        </w:rPr>
        <w:t>联系人：</w:t>
      </w:r>
      <w:r>
        <w:rPr>
          <w:rFonts w:hint="eastAsia"/>
          <w:bCs/>
          <w:color w:val="auto"/>
          <w:szCs w:val="21"/>
          <w:highlight w:val="none"/>
          <w:lang w:val="en-US" w:eastAsia="zh-CN"/>
        </w:rPr>
        <w:t>车</w:t>
      </w:r>
      <w:r>
        <w:rPr>
          <w:bCs/>
          <w:color w:val="auto"/>
          <w:szCs w:val="21"/>
          <w:highlight w:val="none"/>
        </w:rPr>
        <w:t>老师</w:t>
      </w:r>
    </w:p>
    <w:p>
      <w:pPr>
        <w:snapToGrid w:val="0"/>
        <w:spacing w:line="440" w:lineRule="exact"/>
        <w:ind w:firstLine="420" w:firstLineChars="200"/>
        <w:rPr>
          <w:rFonts w:ascii="Times New Roman" w:hAnsi="Times New Roman" w:eastAsia="宋体" w:cs="Times New Roman"/>
          <w:bCs/>
          <w:color w:val="auto"/>
          <w:szCs w:val="21"/>
          <w:highlight w:val="none"/>
        </w:rPr>
      </w:pPr>
      <w:r>
        <w:rPr>
          <w:bCs/>
          <w:color w:val="auto"/>
          <w:szCs w:val="21"/>
          <w:highlight w:val="none"/>
        </w:rPr>
        <w:t>电话：</w:t>
      </w:r>
      <w:r>
        <w:rPr>
          <w:rFonts w:hint="eastAsia" w:ascii="Times New Roman" w:hAnsi="Times New Roman" w:eastAsia="宋体" w:cs="Times New Roman"/>
          <w:bCs/>
          <w:color w:val="auto"/>
          <w:szCs w:val="21"/>
          <w:highlight w:val="none"/>
        </w:rPr>
        <w:t>13688150241</w:t>
      </w:r>
    </w:p>
    <w:p>
      <w:pPr>
        <w:snapToGrid w:val="0"/>
        <w:spacing w:line="440" w:lineRule="exact"/>
        <w:ind w:firstLine="420" w:firstLineChars="200"/>
        <w:rPr>
          <w:rFonts w:hint="eastAsia" w:eastAsia="宋体"/>
          <w:bCs/>
          <w:color w:val="auto"/>
          <w:szCs w:val="21"/>
          <w:highlight w:val="none"/>
          <w:lang w:val="en-US" w:eastAsia="zh-CN"/>
        </w:rPr>
      </w:pPr>
      <w:r>
        <w:rPr>
          <w:bCs/>
          <w:color w:val="auto"/>
          <w:szCs w:val="21"/>
          <w:highlight w:val="none"/>
        </w:rPr>
        <w:t>技术负责人：</w:t>
      </w:r>
      <w:r>
        <w:rPr>
          <w:rFonts w:hint="eastAsia"/>
          <w:bCs/>
          <w:color w:val="auto"/>
          <w:szCs w:val="21"/>
          <w:highlight w:val="none"/>
          <w:lang w:val="en-US" w:eastAsia="zh-CN"/>
        </w:rPr>
        <w:t>扶俊</w:t>
      </w:r>
    </w:p>
    <w:p>
      <w:pPr>
        <w:snapToGrid w:val="0"/>
        <w:spacing w:line="440" w:lineRule="exact"/>
        <w:ind w:firstLine="420" w:firstLineChars="200"/>
        <w:rPr>
          <w:bCs/>
          <w:color w:val="auto"/>
          <w:szCs w:val="21"/>
          <w:highlight w:val="none"/>
        </w:rPr>
      </w:pPr>
      <w:r>
        <w:rPr>
          <w:bCs/>
          <w:color w:val="auto"/>
          <w:szCs w:val="21"/>
          <w:highlight w:val="none"/>
        </w:rPr>
        <w:t>电话：</w:t>
      </w:r>
      <w:r>
        <w:rPr>
          <w:rFonts w:hint="eastAsia"/>
          <w:color w:val="auto"/>
          <w:highlight w:val="none"/>
        </w:rPr>
        <w:t>13206112025</w:t>
      </w:r>
    </w:p>
    <w:p>
      <w:pPr>
        <w:snapToGrid w:val="0"/>
        <w:spacing w:line="440" w:lineRule="exact"/>
        <w:ind w:firstLine="420" w:firstLineChars="200"/>
        <w:rPr>
          <w:rFonts w:ascii="Times New Roman" w:hAnsi="Times New Roman" w:eastAsia="宋体" w:cs="Times New Roman"/>
          <w:bCs/>
          <w:color w:val="auto"/>
          <w:szCs w:val="21"/>
          <w:highlight w:val="none"/>
        </w:rPr>
      </w:pPr>
      <w:r>
        <w:rPr>
          <w:bCs/>
          <w:color w:val="auto"/>
          <w:szCs w:val="21"/>
          <w:highlight w:val="none"/>
        </w:rPr>
        <w:t xml:space="preserve">地址： </w:t>
      </w:r>
      <w:r>
        <w:rPr>
          <w:rFonts w:hint="eastAsia" w:ascii="Times New Roman" w:hAnsi="Times New Roman" w:eastAsia="宋体" w:cs="Times New Roman"/>
          <w:bCs/>
          <w:color w:val="auto"/>
          <w:szCs w:val="21"/>
          <w:highlight w:val="none"/>
        </w:rPr>
        <w:t>重庆市渝北区联合产业孵化基地4#楼哈尔滨工业大学重庆研究院</w:t>
      </w:r>
    </w:p>
    <w:p>
      <w:pPr>
        <w:snapToGrid w:val="0"/>
        <w:spacing w:line="440" w:lineRule="exact"/>
        <w:ind w:firstLine="420" w:firstLineChars="200"/>
        <w:rPr>
          <w:color w:val="auto"/>
          <w:szCs w:val="21"/>
          <w:highlight w:val="none"/>
        </w:rPr>
      </w:pPr>
    </w:p>
    <w:p>
      <w:pPr>
        <w:snapToGrid w:val="0"/>
        <w:spacing w:line="440" w:lineRule="exact"/>
        <w:ind w:firstLine="422" w:firstLineChars="200"/>
        <w:rPr>
          <w:color w:val="auto"/>
          <w:szCs w:val="21"/>
          <w:highlight w:val="none"/>
        </w:rPr>
      </w:pPr>
      <w:r>
        <w:rPr>
          <w:b/>
          <w:color w:val="auto"/>
          <w:szCs w:val="21"/>
          <w:highlight w:val="none"/>
        </w:rPr>
        <w:t>采购代理机构：</w:t>
      </w:r>
      <w:r>
        <w:rPr>
          <w:color w:val="auto"/>
          <w:szCs w:val="21"/>
          <w:highlight w:val="none"/>
        </w:rPr>
        <w:t>重庆赛迪工程咨询有限公司</w:t>
      </w:r>
    </w:p>
    <w:p>
      <w:pPr>
        <w:snapToGrid w:val="0"/>
        <w:spacing w:line="440" w:lineRule="exact"/>
        <w:ind w:firstLine="420" w:firstLineChars="200"/>
        <w:rPr>
          <w:color w:val="auto"/>
          <w:szCs w:val="21"/>
          <w:highlight w:val="none"/>
        </w:rPr>
      </w:pPr>
      <w:r>
        <w:rPr>
          <w:color w:val="auto"/>
          <w:szCs w:val="21"/>
          <w:highlight w:val="none"/>
        </w:rPr>
        <w:t>联系人：文老师</w:t>
      </w:r>
    </w:p>
    <w:p>
      <w:pPr>
        <w:snapToGrid w:val="0"/>
        <w:spacing w:line="440" w:lineRule="exact"/>
        <w:ind w:firstLine="420" w:firstLineChars="200"/>
        <w:rPr>
          <w:color w:val="auto"/>
          <w:szCs w:val="21"/>
          <w:highlight w:val="none"/>
        </w:rPr>
      </w:pPr>
      <w:r>
        <w:rPr>
          <w:color w:val="auto"/>
          <w:szCs w:val="21"/>
          <w:highlight w:val="none"/>
        </w:rPr>
        <w:t>电  话：023-63545924</w:t>
      </w:r>
    </w:p>
    <w:p>
      <w:pPr>
        <w:snapToGrid w:val="0"/>
        <w:spacing w:line="440" w:lineRule="exact"/>
        <w:ind w:firstLine="420" w:firstLineChars="200"/>
        <w:rPr>
          <w:color w:val="auto"/>
          <w:szCs w:val="21"/>
          <w:highlight w:val="none"/>
        </w:rPr>
      </w:pPr>
      <w:r>
        <w:rPr>
          <w:color w:val="auto"/>
          <w:szCs w:val="21"/>
          <w:highlight w:val="none"/>
        </w:rPr>
        <w:t>地  址：重庆市渝中区双钢路1号</w:t>
      </w:r>
    </w:p>
    <w:p>
      <w:pPr>
        <w:rPr>
          <w:color w:val="auto"/>
          <w:szCs w:val="36"/>
          <w:highlight w:val="none"/>
        </w:rPr>
      </w:pPr>
      <w:bookmarkStart w:id="4" w:name="_Toc10213426"/>
      <w:r>
        <w:rPr>
          <w:color w:val="auto"/>
          <w:szCs w:val="36"/>
          <w:highlight w:val="none"/>
        </w:rPr>
        <w:br w:type="page"/>
      </w:r>
    </w:p>
    <w:p>
      <w:pPr>
        <w:pStyle w:val="2"/>
        <w:rPr>
          <w:rFonts w:eastAsia="宋体"/>
          <w:bCs w:val="0"/>
          <w:color w:val="auto"/>
          <w:kern w:val="2"/>
          <w:szCs w:val="36"/>
          <w:highlight w:val="none"/>
        </w:rPr>
      </w:pPr>
      <w:r>
        <w:rPr>
          <w:rFonts w:eastAsia="宋体"/>
          <w:bCs w:val="0"/>
          <w:color w:val="auto"/>
          <w:kern w:val="2"/>
          <w:szCs w:val="36"/>
          <w:highlight w:val="none"/>
        </w:rPr>
        <w:t>第二章 评比供应商须知</w:t>
      </w:r>
      <w:bookmarkEnd w:id="4"/>
    </w:p>
    <w:p>
      <w:pPr>
        <w:jc w:val="center"/>
        <w:rPr>
          <w:b/>
          <w:color w:val="auto"/>
          <w:sz w:val="30"/>
          <w:szCs w:val="30"/>
          <w:highlight w:val="none"/>
        </w:rPr>
      </w:pPr>
      <w:bookmarkStart w:id="5" w:name="_Toc68963460"/>
      <w:r>
        <w:rPr>
          <w:b/>
          <w:color w:val="auto"/>
          <w:sz w:val="30"/>
          <w:szCs w:val="30"/>
          <w:highlight w:val="none"/>
        </w:rPr>
        <w:t>评比供应商须知前附表</w:t>
      </w:r>
      <w:bookmarkEnd w:id="5"/>
    </w:p>
    <w:tbl>
      <w:tblPr>
        <w:tblStyle w:val="39"/>
        <w:tblW w:w="9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85"/>
        <w:gridCol w:w="8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20" w:type="dxa"/>
            <w:tcMar>
              <w:top w:w="57" w:type="dxa"/>
              <w:bottom w:w="57" w:type="dxa"/>
            </w:tcMar>
            <w:vAlign w:val="center"/>
          </w:tcPr>
          <w:p>
            <w:pPr>
              <w:pStyle w:val="22"/>
              <w:adjustRightInd w:val="0"/>
              <w:snapToGrid w:val="0"/>
              <w:jc w:val="center"/>
              <w:rPr>
                <w:rFonts w:ascii="Times New Roman" w:hAnsi="Times New Roman"/>
                <w:color w:val="auto"/>
                <w:sz w:val="21"/>
                <w:szCs w:val="21"/>
                <w:highlight w:val="none"/>
              </w:rPr>
            </w:pPr>
            <w:r>
              <w:rPr>
                <w:rFonts w:ascii="Times New Roman" w:hAnsi="Times New Roman"/>
                <w:color w:val="auto"/>
                <w:sz w:val="21"/>
                <w:szCs w:val="21"/>
                <w:highlight w:val="none"/>
              </w:rPr>
              <w:t>序号</w:t>
            </w:r>
          </w:p>
        </w:tc>
        <w:tc>
          <w:tcPr>
            <w:tcW w:w="985" w:type="dxa"/>
            <w:tcMar>
              <w:top w:w="57" w:type="dxa"/>
              <w:bottom w:w="57" w:type="dxa"/>
            </w:tcMar>
            <w:vAlign w:val="center"/>
          </w:tcPr>
          <w:p>
            <w:pPr>
              <w:pStyle w:val="22"/>
              <w:adjustRightInd w:val="0"/>
              <w:snapToGrid w:val="0"/>
              <w:jc w:val="center"/>
              <w:rPr>
                <w:rFonts w:ascii="Times New Roman" w:hAnsi="Times New Roman"/>
                <w:color w:val="auto"/>
                <w:sz w:val="21"/>
                <w:szCs w:val="21"/>
                <w:highlight w:val="none"/>
              </w:rPr>
            </w:pPr>
            <w:r>
              <w:rPr>
                <w:rFonts w:ascii="Times New Roman" w:hAnsi="Times New Roman"/>
                <w:color w:val="auto"/>
                <w:sz w:val="21"/>
                <w:szCs w:val="21"/>
                <w:highlight w:val="none"/>
              </w:rPr>
              <w:t>条款号</w:t>
            </w:r>
          </w:p>
        </w:tc>
        <w:tc>
          <w:tcPr>
            <w:tcW w:w="8135" w:type="dxa"/>
            <w:tcMar>
              <w:top w:w="57" w:type="dxa"/>
              <w:bottom w:w="57" w:type="dxa"/>
            </w:tcMar>
            <w:vAlign w:val="center"/>
          </w:tcPr>
          <w:p>
            <w:pPr>
              <w:pStyle w:val="22"/>
              <w:adjustRightInd w:val="0"/>
              <w:snapToGrid w:val="0"/>
              <w:jc w:val="center"/>
              <w:rPr>
                <w:rFonts w:ascii="Times New Roman" w:hAnsi="Times New Roman"/>
                <w:color w:val="auto"/>
                <w:sz w:val="21"/>
                <w:szCs w:val="21"/>
                <w:highlight w:val="none"/>
              </w:rPr>
            </w:pPr>
            <w:r>
              <w:rPr>
                <w:rFonts w:ascii="Times New Roman" w:hAnsi="Times New Roman"/>
                <w:color w:val="auto"/>
                <w:sz w:val="21"/>
                <w:szCs w:val="21"/>
                <w:highlight w:val="none"/>
              </w:rPr>
              <w:t>具 体 信 息 或 数 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20" w:type="dxa"/>
            <w:tcMar>
              <w:top w:w="57" w:type="dxa"/>
              <w:bottom w:w="57" w:type="dxa"/>
            </w:tcMar>
            <w:vAlign w:val="center"/>
          </w:tcPr>
          <w:p>
            <w:pPr>
              <w:pStyle w:val="22"/>
              <w:adjustRightInd w:val="0"/>
              <w:snapToGrid w:val="0"/>
              <w:jc w:val="center"/>
              <w:rPr>
                <w:rFonts w:ascii="Times New Roman" w:hAnsi="Times New Roman"/>
                <w:color w:val="auto"/>
                <w:sz w:val="21"/>
                <w:szCs w:val="21"/>
                <w:highlight w:val="none"/>
              </w:rPr>
            </w:pPr>
            <w:r>
              <w:rPr>
                <w:rFonts w:ascii="Times New Roman" w:hAnsi="Times New Roman"/>
                <w:color w:val="auto"/>
                <w:sz w:val="21"/>
                <w:szCs w:val="21"/>
                <w:highlight w:val="none"/>
              </w:rPr>
              <w:t>1</w:t>
            </w:r>
          </w:p>
        </w:tc>
        <w:tc>
          <w:tcPr>
            <w:tcW w:w="985" w:type="dxa"/>
            <w:tcMar>
              <w:top w:w="57" w:type="dxa"/>
              <w:bottom w:w="57" w:type="dxa"/>
            </w:tcMar>
            <w:vAlign w:val="center"/>
          </w:tcPr>
          <w:p>
            <w:pPr>
              <w:pStyle w:val="22"/>
              <w:adjustRightInd w:val="0"/>
              <w:snapToGrid w:val="0"/>
              <w:jc w:val="center"/>
              <w:rPr>
                <w:rFonts w:ascii="Times New Roman" w:hAnsi="Times New Roman"/>
                <w:color w:val="auto"/>
                <w:sz w:val="21"/>
                <w:szCs w:val="21"/>
                <w:highlight w:val="none"/>
              </w:rPr>
            </w:pPr>
            <w:r>
              <w:rPr>
                <w:rFonts w:ascii="Times New Roman" w:hAnsi="Times New Roman"/>
                <w:color w:val="auto"/>
                <w:sz w:val="21"/>
                <w:szCs w:val="21"/>
                <w:highlight w:val="none"/>
              </w:rPr>
              <w:t>1.1</w:t>
            </w:r>
          </w:p>
        </w:tc>
        <w:tc>
          <w:tcPr>
            <w:tcW w:w="8135" w:type="dxa"/>
            <w:tcMar>
              <w:top w:w="57" w:type="dxa"/>
              <w:bottom w:w="57" w:type="dxa"/>
            </w:tcMar>
            <w:vAlign w:val="center"/>
          </w:tcPr>
          <w:p>
            <w:pPr>
              <w:pStyle w:val="22"/>
              <w:adjustRightInd w:val="0"/>
              <w:snapToGrid w:val="0"/>
              <w:spacing w:line="440" w:lineRule="exact"/>
              <w:rPr>
                <w:rFonts w:hint="eastAsia" w:ascii="Times New Roman" w:hAnsi="Times New Roman" w:eastAsia="宋体"/>
                <w:color w:val="auto"/>
                <w:sz w:val="21"/>
                <w:szCs w:val="21"/>
                <w:highlight w:val="none"/>
                <w:lang w:eastAsia="zh-CN"/>
              </w:rPr>
            </w:pPr>
            <w:r>
              <w:rPr>
                <w:rFonts w:ascii="Times New Roman" w:hAnsi="Times New Roman"/>
                <w:color w:val="auto"/>
                <w:sz w:val="21"/>
                <w:szCs w:val="21"/>
                <w:highlight w:val="none"/>
              </w:rPr>
              <w:t>项目名称：</w:t>
            </w:r>
            <w:r>
              <w:rPr>
                <w:rFonts w:hint="eastAsia" w:ascii="Times New Roman" w:hAnsi="Times New Roman"/>
                <w:color w:val="auto"/>
                <w:sz w:val="21"/>
                <w:szCs w:val="21"/>
                <w:highlight w:val="none"/>
                <w:lang w:eastAsia="zh-CN"/>
              </w:rPr>
              <w:t>哈尔滨工业大学重庆研究院智能化层析分离中试系统采购项目（</w:t>
            </w:r>
            <w:r>
              <w:rPr>
                <w:rFonts w:hint="eastAsia" w:ascii="Times New Roman" w:hAnsi="Times New Roman"/>
                <w:color w:val="auto"/>
                <w:sz w:val="21"/>
                <w:szCs w:val="21"/>
                <w:highlight w:val="none"/>
                <w:lang w:val="en-US" w:eastAsia="zh-CN"/>
              </w:rPr>
              <w:t>第二次</w:t>
            </w:r>
            <w:r>
              <w:rPr>
                <w:rFonts w:hint="eastAsia" w:ascii="Times New Roman" w:hAnsi="Times New Roman"/>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720" w:type="dxa"/>
            <w:tcMar>
              <w:top w:w="57" w:type="dxa"/>
              <w:bottom w:w="57" w:type="dxa"/>
            </w:tcMar>
            <w:vAlign w:val="center"/>
          </w:tcPr>
          <w:p>
            <w:pPr>
              <w:pStyle w:val="22"/>
              <w:adjustRightInd w:val="0"/>
              <w:snapToGrid w:val="0"/>
              <w:jc w:val="center"/>
              <w:rPr>
                <w:rFonts w:ascii="Times New Roman" w:hAnsi="Times New Roman"/>
                <w:color w:val="auto"/>
                <w:sz w:val="21"/>
                <w:szCs w:val="21"/>
                <w:highlight w:val="none"/>
              </w:rPr>
            </w:pPr>
            <w:r>
              <w:rPr>
                <w:rFonts w:ascii="Times New Roman" w:hAnsi="Times New Roman"/>
                <w:color w:val="auto"/>
                <w:sz w:val="21"/>
                <w:szCs w:val="21"/>
                <w:highlight w:val="none"/>
              </w:rPr>
              <w:t>2</w:t>
            </w:r>
          </w:p>
        </w:tc>
        <w:tc>
          <w:tcPr>
            <w:tcW w:w="985" w:type="dxa"/>
            <w:tcMar>
              <w:top w:w="57" w:type="dxa"/>
              <w:bottom w:w="57" w:type="dxa"/>
            </w:tcMar>
            <w:vAlign w:val="center"/>
          </w:tcPr>
          <w:p>
            <w:pPr>
              <w:pStyle w:val="22"/>
              <w:adjustRightInd w:val="0"/>
              <w:snapToGrid w:val="0"/>
              <w:jc w:val="center"/>
              <w:rPr>
                <w:rFonts w:ascii="Times New Roman" w:hAnsi="Times New Roman"/>
                <w:color w:val="auto"/>
                <w:sz w:val="21"/>
                <w:szCs w:val="21"/>
                <w:highlight w:val="none"/>
              </w:rPr>
            </w:pPr>
            <w:r>
              <w:rPr>
                <w:rFonts w:ascii="Times New Roman" w:hAnsi="Times New Roman"/>
                <w:color w:val="auto"/>
                <w:sz w:val="21"/>
                <w:szCs w:val="21"/>
                <w:highlight w:val="none"/>
              </w:rPr>
              <w:t>1.2</w:t>
            </w:r>
          </w:p>
        </w:tc>
        <w:tc>
          <w:tcPr>
            <w:tcW w:w="8135" w:type="dxa"/>
            <w:tcMar>
              <w:top w:w="57" w:type="dxa"/>
              <w:bottom w:w="57" w:type="dxa"/>
            </w:tcMar>
            <w:vAlign w:val="center"/>
          </w:tcPr>
          <w:p>
            <w:pPr>
              <w:pStyle w:val="22"/>
              <w:adjustRightInd w:val="0"/>
              <w:snapToGrid w:val="0"/>
              <w:spacing w:line="440" w:lineRule="exact"/>
              <w:rPr>
                <w:rFonts w:hint="eastAsia" w:ascii="Times New Roman" w:hAnsi="Times New Roman" w:eastAsia="宋体"/>
                <w:color w:val="auto"/>
                <w:sz w:val="21"/>
                <w:szCs w:val="21"/>
                <w:highlight w:val="none"/>
                <w:lang w:eastAsia="zh-CN"/>
              </w:rPr>
            </w:pPr>
            <w:r>
              <w:rPr>
                <w:rFonts w:ascii="Times New Roman" w:hAnsi="Times New Roman"/>
                <w:color w:val="auto"/>
                <w:sz w:val="21"/>
                <w:szCs w:val="21"/>
                <w:highlight w:val="none"/>
              </w:rPr>
              <w:t>采购人：</w:t>
            </w:r>
            <w:r>
              <w:rPr>
                <w:rFonts w:hint="eastAsia" w:ascii="Times New Roman" w:hAnsi="Times New Roman"/>
                <w:color w:val="auto"/>
                <w:sz w:val="21"/>
                <w:szCs w:val="21"/>
                <w:highlight w:val="none"/>
                <w:lang w:eastAsia="zh-CN"/>
              </w:rPr>
              <w:t>哈尔滨工业大学重庆研究院</w:t>
            </w:r>
          </w:p>
          <w:p>
            <w:pPr>
              <w:pStyle w:val="22"/>
              <w:adjustRightInd w:val="0"/>
              <w:snapToGrid w:val="0"/>
              <w:spacing w:line="440" w:lineRule="exact"/>
              <w:rPr>
                <w:rFonts w:ascii="Times New Roman" w:hAnsi="Times New Roman"/>
                <w:color w:val="auto"/>
                <w:sz w:val="21"/>
                <w:szCs w:val="21"/>
                <w:highlight w:val="none"/>
              </w:rPr>
            </w:pPr>
            <w:r>
              <w:rPr>
                <w:rFonts w:ascii="Times New Roman" w:hAnsi="Times New Roman"/>
                <w:color w:val="auto"/>
                <w:sz w:val="21"/>
                <w:szCs w:val="21"/>
                <w:highlight w:val="none"/>
              </w:rPr>
              <w:t>采购人地址：</w:t>
            </w:r>
            <w:r>
              <w:rPr>
                <w:rFonts w:hint="eastAsia" w:ascii="Times New Roman" w:hAnsi="Times New Roman" w:eastAsia="宋体" w:cs="Times New Roman"/>
                <w:color w:val="auto"/>
                <w:sz w:val="21"/>
                <w:szCs w:val="21"/>
                <w:highlight w:val="none"/>
                <w:lang w:eastAsia="zh-CN"/>
              </w:rPr>
              <w:t>重庆市渝北区联合产业孵化基地4#楼哈尔滨工业大学重庆研究院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20" w:type="dxa"/>
            <w:tcMar>
              <w:top w:w="57" w:type="dxa"/>
              <w:bottom w:w="57" w:type="dxa"/>
            </w:tcMar>
            <w:vAlign w:val="center"/>
          </w:tcPr>
          <w:p>
            <w:pPr>
              <w:pStyle w:val="22"/>
              <w:adjustRightInd w:val="0"/>
              <w:snapToGrid w:val="0"/>
              <w:jc w:val="center"/>
              <w:rPr>
                <w:rFonts w:ascii="Times New Roman" w:hAnsi="Times New Roman"/>
                <w:color w:val="auto"/>
                <w:sz w:val="21"/>
                <w:szCs w:val="21"/>
                <w:highlight w:val="none"/>
              </w:rPr>
            </w:pPr>
            <w:r>
              <w:rPr>
                <w:rFonts w:ascii="Times New Roman" w:hAnsi="Times New Roman"/>
                <w:color w:val="auto"/>
                <w:sz w:val="21"/>
                <w:szCs w:val="21"/>
                <w:highlight w:val="none"/>
              </w:rPr>
              <w:t>3</w:t>
            </w:r>
          </w:p>
        </w:tc>
        <w:tc>
          <w:tcPr>
            <w:tcW w:w="985" w:type="dxa"/>
            <w:tcMar>
              <w:top w:w="57" w:type="dxa"/>
              <w:bottom w:w="57" w:type="dxa"/>
            </w:tcMar>
            <w:vAlign w:val="center"/>
          </w:tcPr>
          <w:p>
            <w:pPr>
              <w:pStyle w:val="22"/>
              <w:adjustRightInd w:val="0"/>
              <w:snapToGrid w:val="0"/>
              <w:jc w:val="center"/>
              <w:rPr>
                <w:rFonts w:ascii="Times New Roman" w:hAnsi="Times New Roman"/>
                <w:color w:val="auto"/>
                <w:sz w:val="21"/>
                <w:szCs w:val="21"/>
                <w:highlight w:val="none"/>
              </w:rPr>
            </w:pPr>
            <w:r>
              <w:rPr>
                <w:rFonts w:ascii="Times New Roman" w:hAnsi="Times New Roman"/>
                <w:color w:val="auto"/>
                <w:sz w:val="21"/>
                <w:szCs w:val="21"/>
                <w:highlight w:val="none"/>
              </w:rPr>
              <w:t>1.4</w:t>
            </w:r>
          </w:p>
        </w:tc>
        <w:tc>
          <w:tcPr>
            <w:tcW w:w="8135" w:type="dxa"/>
            <w:tcMar>
              <w:top w:w="57" w:type="dxa"/>
              <w:bottom w:w="57" w:type="dxa"/>
            </w:tcMar>
            <w:vAlign w:val="center"/>
          </w:tcPr>
          <w:p>
            <w:pPr>
              <w:pStyle w:val="22"/>
              <w:adjustRightInd w:val="0"/>
              <w:snapToGrid w:val="0"/>
              <w:spacing w:line="440" w:lineRule="exact"/>
              <w:rPr>
                <w:rFonts w:ascii="Times New Roman" w:hAnsi="Times New Roman"/>
                <w:color w:val="auto"/>
                <w:sz w:val="21"/>
                <w:szCs w:val="21"/>
                <w:highlight w:val="none"/>
              </w:rPr>
            </w:pPr>
            <w:r>
              <w:rPr>
                <w:rFonts w:hint="eastAsia" w:ascii="Times New Roman" w:hAnsi="Times New Roman"/>
                <w:bCs/>
                <w:color w:val="auto"/>
                <w:sz w:val="21"/>
                <w:szCs w:val="21"/>
                <w:highlight w:val="none"/>
                <w:lang w:val="en-US" w:eastAsia="zh-CN"/>
              </w:rPr>
              <w:t>供货</w:t>
            </w:r>
            <w:r>
              <w:rPr>
                <w:rFonts w:ascii="Times New Roman" w:hAnsi="Times New Roman"/>
                <w:bCs/>
                <w:color w:val="auto"/>
                <w:sz w:val="21"/>
                <w:szCs w:val="21"/>
                <w:highlight w:val="none"/>
              </w:rPr>
              <w:t>期</w:t>
            </w:r>
            <w:r>
              <w:rPr>
                <w:rFonts w:ascii="Times New Roman" w:hAnsi="Times New Roman" w:eastAsia="宋体" w:cs="Times New Roman"/>
                <w:bCs/>
                <w:color w:val="auto"/>
                <w:sz w:val="21"/>
                <w:szCs w:val="21"/>
                <w:highlight w:val="none"/>
              </w:rPr>
              <w:t>：</w:t>
            </w:r>
            <w:r>
              <w:rPr>
                <w:rFonts w:hint="eastAsia" w:ascii="Times New Roman" w:hAnsi="Times New Roman" w:eastAsia="宋体" w:cs="Times New Roman"/>
                <w:bCs/>
                <w:color w:val="auto"/>
                <w:sz w:val="21"/>
                <w:szCs w:val="21"/>
                <w:highlight w:val="none"/>
              </w:rPr>
              <w:t>收到预付款后</w:t>
            </w:r>
            <w:r>
              <w:rPr>
                <w:rFonts w:hint="eastAsia" w:ascii="Times New Roman" w:hAnsi="Times New Roman" w:eastAsia="宋体" w:cs="Times New Roman"/>
                <w:bCs/>
                <w:color w:val="auto"/>
                <w:sz w:val="21"/>
                <w:szCs w:val="21"/>
                <w:highlight w:val="none"/>
                <w:lang w:eastAsia="zh-CN"/>
              </w:rPr>
              <w:t>7</w:t>
            </w:r>
            <w:r>
              <w:rPr>
                <w:rFonts w:hint="eastAsia" w:ascii="Times New Roman" w:hAnsi="Times New Roman" w:cs="Times New Roman"/>
                <w:bCs/>
                <w:color w:val="auto"/>
                <w:sz w:val="21"/>
                <w:szCs w:val="21"/>
                <w:highlight w:val="none"/>
                <w:lang w:val="en-US" w:eastAsia="zh-CN"/>
              </w:rPr>
              <w:t>5</w:t>
            </w:r>
            <w:r>
              <w:rPr>
                <w:rFonts w:hint="eastAsia" w:ascii="Times New Roman" w:hAnsi="Times New Roman" w:eastAsia="宋体" w:cs="Times New Roman"/>
                <w:bCs/>
                <w:color w:val="auto"/>
                <w:sz w:val="21"/>
                <w:szCs w:val="21"/>
                <w:highlight w:val="none"/>
                <w:lang w:eastAsia="zh-CN"/>
              </w:rPr>
              <w:t>个日历日内完成设备加工，设备交付后2</w:t>
            </w:r>
            <w:r>
              <w:rPr>
                <w:rFonts w:hint="eastAsia" w:ascii="Times New Roman" w:hAnsi="Times New Roman" w:cs="Times New Roman"/>
                <w:bCs/>
                <w:color w:val="auto"/>
                <w:sz w:val="21"/>
                <w:szCs w:val="21"/>
                <w:highlight w:val="none"/>
                <w:lang w:val="en-US" w:eastAsia="zh-CN"/>
              </w:rPr>
              <w:t>0</w:t>
            </w:r>
            <w:r>
              <w:rPr>
                <w:rFonts w:hint="eastAsia" w:ascii="Times New Roman" w:hAnsi="Times New Roman" w:eastAsia="宋体" w:cs="Times New Roman"/>
                <w:bCs/>
                <w:color w:val="auto"/>
                <w:sz w:val="21"/>
                <w:szCs w:val="21"/>
                <w:highlight w:val="none"/>
                <w:lang w:eastAsia="zh-CN"/>
              </w:rPr>
              <w:t>个日历日内完成</w:t>
            </w:r>
            <w:r>
              <w:rPr>
                <w:rFonts w:hint="eastAsia" w:ascii="Times New Roman" w:hAnsi="Times New Roman" w:cs="Times New Roman"/>
                <w:bCs/>
                <w:color w:val="auto"/>
                <w:sz w:val="21"/>
                <w:szCs w:val="21"/>
                <w:highlight w:val="none"/>
                <w:lang w:val="en-US" w:eastAsia="zh-CN"/>
              </w:rPr>
              <w:t>中试现场</w:t>
            </w:r>
            <w:r>
              <w:rPr>
                <w:rFonts w:hint="eastAsia" w:ascii="Times New Roman" w:hAnsi="Times New Roman" w:eastAsia="宋体" w:cs="Times New Roman"/>
                <w:bCs/>
                <w:color w:val="auto"/>
                <w:sz w:val="21"/>
                <w:szCs w:val="21"/>
                <w:highlight w:val="none"/>
                <w:lang w:eastAsia="zh-CN"/>
              </w:rPr>
              <w:t>设备安装调试。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720" w:type="dxa"/>
            <w:tcMar>
              <w:top w:w="57" w:type="dxa"/>
              <w:bottom w:w="57" w:type="dxa"/>
            </w:tcMar>
            <w:vAlign w:val="center"/>
          </w:tcPr>
          <w:p>
            <w:pPr>
              <w:pStyle w:val="22"/>
              <w:adjustRightInd w:val="0"/>
              <w:snapToGrid w:val="0"/>
              <w:jc w:val="center"/>
              <w:rPr>
                <w:rFonts w:ascii="Times New Roman" w:hAnsi="Times New Roman"/>
                <w:color w:val="auto"/>
                <w:sz w:val="21"/>
                <w:szCs w:val="21"/>
                <w:highlight w:val="none"/>
              </w:rPr>
            </w:pPr>
            <w:r>
              <w:rPr>
                <w:rFonts w:ascii="Times New Roman" w:hAnsi="Times New Roman"/>
                <w:color w:val="auto"/>
                <w:sz w:val="21"/>
                <w:szCs w:val="21"/>
                <w:highlight w:val="none"/>
              </w:rPr>
              <w:t>4</w:t>
            </w:r>
          </w:p>
        </w:tc>
        <w:tc>
          <w:tcPr>
            <w:tcW w:w="985" w:type="dxa"/>
            <w:tcMar>
              <w:top w:w="57" w:type="dxa"/>
              <w:bottom w:w="57" w:type="dxa"/>
            </w:tcMar>
            <w:vAlign w:val="center"/>
          </w:tcPr>
          <w:p>
            <w:pPr>
              <w:pStyle w:val="22"/>
              <w:adjustRightInd w:val="0"/>
              <w:snapToGrid w:val="0"/>
              <w:jc w:val="center"/>
              <w:rPr>
                <w:rFonts w:ascii="Times New Roman" w:hAnsi="Times New Roman"/>
                <w:color w:val="auto"/>
                <w:sz w:val="21"/>
                <w:szCs w:val="21"/>
                <w:highlight w:val="none"/>
              </w:rPr>
            </w:pPr>
            <w:r>
              <w:rPr>
                <w:rFonts w:ascii="Times New Roman" w:hAnsi="Times New Roman"/>
                <w:color w:val="auto"/>
                <w:sz w:val="21"/>
                <w:szCs w:val="21"/>
                <w:highlight w:val="none"/>
              </w:rPr>
              <w:t>3.1</w:t>
            </w:r>
          </w:p>
        </w:tc>
        <w:tc>
          <w:tcPr>
            <w:tcW w:w="8135" w:type="dxa"/>
            <w:tcMar>
              <w:top w:w="57" w:type="dxa"/>
              <w:bottom w:w="57" w:type="dxa"/>
            </w:tcMar>
            <w:vAlign w:val="center"/>
          </w:tcPr>
          <w:p>
            <w:pPr>
              <w:pStyle w:val="22"/>
              <w:adjustRightInd w:val="0"/>
              <w:snapToGrid w:val="0"/>
              <w:spacing w:line="440" w:lineRule="exact"/>
              <w:rPr>
                <w:rFonts w:ascii="Times New Roman" w:hAnsi="Times New Roman"/>
                <w:color w:val="auto"/>
                <w:sz w:val="21"/>
                <w:szCs w:val="21"/>
                <w:highlight w:val="none"/>
              </w:rPr>
            </w:pPr>
            <w:r>
              <w:rPr>
                <w:rFonts w:ascii="Times New Roman" w:hAnsi="Times New Roman"/>
                <w:color w:val="auto"/>
                <w:sz w:val="21"/>
                <w:szCs w:val="21"/>
                <w:highlight w:val="none"/>
              </w:rPr>
              <w:t>合格评比供应商必须同时满足下述资格条件：</w:t>
            </w:r>
          </w:p>
          <w:p>
            <w:pPr>
              <w:pStyle w:val="22"/>
              <w:numPr>
                <w:ilvl w:val="0"/>
                <w:numId w:val="1"/>
              </w:numPr>
              <w:adjustRightInd w:val="0"/>
              <w:snapToGrid w:val="0"/>
              <w:spacing w:line="440" w:lineRule="exact"/>
              <w:rPr>
                <w:rFonts w:hint="eastAsia" w:ascii="Times New Roman" w:hAnsi="Times New Roman"/>
                <w:color w:val="auto"/>
                <w:sz w:val="21"/>
                <w:szCs w:val="21"/>
                <w:highlight w:val="none"/>
                <w:lang w:val="en-US" w:eastAsia="zh-CN"/>
              </w:rPr>
            </w:pPr>
            <w:r>
              <w:rPr>
                <w:rFonts w:ascii="Times New Roman" w:hAnsi="Times New Roman"/>
                <w:color w:val="auto"/>
                <w:sz w:val="21"/>
                <w:szCs w:val="21"/>
                <w:highlight w:val="none"/>
              </w:rPr>
              <w:t>满足《中华人民共和国政府采购法》第二十二条</w:t>
            </w:r>
            <w:r>
              <w:rPr>
                <w:rFonts w:hint="eastAsia" w:ascii="Times New Roman" w:hAnsi="Times New Roman"/>
                <w:color w:val="auto"/>
                <w:sz w:val="21"/>
                <w:szCs w:val="21"/>
                <w:highlight w:val="none"/>
                <w:lang w:val="en-US" w:eastAsia="zh-CN"/>
              </w:rPr>
              <w:t>规定；</w:t>
            </w:r>
          </w:p>
          <w:p>
            <w:pPr>
              <w:pStyle w:val="22"/>
              <w:numPr>
                <w:ilvl w:val="0"/>
                <w:numId w:val="1"/>
              </w:numPr>
              <w:adjustRightInd w:val="0"/>
              <w:snapToGrid w:val="0"/>
              <w:spacing w:line="440" w:lineRule="exact"/>
              <w:rPr>
                <w:rFonts w:ascii="Times New Roman" w:hAnsi="Times New Roman"/>
                <w:color w:val="auto"/>
                <w:sz w:val="21"/>
                <w:szCs w:val="21"/>
                <w:highlight w:val="none"/>
              </w:rPr>
            </w:pPr>
            <w:r>
              <w:rPr>
                <w:rFonts w:ascii="Times New Roman" w:hAnsi="Times New Roman"/>
                <w:color w:val="auto"/>
                <w:sz w:val="21"/>
                <w:szCs w:val="21"/>
                <w:highlight w:val="none"/>
              </w:rPr>
              <w:t>落实政府采购政策需满足的资格要求：无</w:t>
            </w:r>
            <w:r>
              <w:rPr>
                <w:rFonts w:hint="eastAsia" w:ascii="Times New Roman" w:hAnsi="Times New Roman"/>
                <w:color w:val="auto"/>
                <w:sz w:val="21"/>
                <w:szCs w:val="21"/>
                <w:highlight w:val="none"/>
                <w:lang w:eastAsia="zh-CN"/>
              </w:rPr>
              <w:t>；</w:t>
            </w:r>
          </w:p>
          <w:p>
            <w:pPr>
              <w:pStyle w:val="22"/>
              <w:numPr>
                <w:ilvl w:val="0"/>
                <w:numId w:val="1"/>
              </w:numPr>
              <w:adjustRightInd w:val="0"/>
              <w:snapToGrid w:val="0"/>
              <w:spacing w:line="440" w:lineRule="exact"/>
              <w:rPr>
                <w:rFonts w:ascii="Times New Roman" w:hAnsi="Times New Roman"/>
                <w:color w:val="auto"/>
                <w:sz w:val="21"/>
                <w:szCs w:val="21"/>
                <w:highlight w:val="none"/>
              </w:rPr>
            </w:pPr>
            <w:r>
              <w:rPr>
                <w:rFonts w:ascii="Times New Roman" w:hAnsi="Times New Roman"/>
                <w:color w:val="auto"/>
                <w:sz w:val="21"/>
                <w:szCs w:val="21"/>
                <w:highlight w:val="none"/>
              </w:rPr>
              <w:t>满足本项目的特定资格要求：</w:t>
            </w:r>
            <w:r>
              <w:rPr>
                <w:rFonts w:hint="eastAsia" w:ascii="Times New Roman" w:hAnsi="Times New Roman"/>
                <w:color w:val="auto"/>
                <w:sz w:val="21"/>
                <w:szCs w:val="21"/>
                <w:highlight w:val="none"/>
                <w:lang w:val="en-US" w:eastAsia="zh-CN"/>
              </w:rPr>
              <w:t>无</w:t>
            </w:r>
            <w:r>
              <w:rPr>
                <w:rFonts w:ascii="Times New Roman" w:hAnsi="Times New Roman"/>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720" w:type="dxa"/>
            <w:tcMar>
              <w:top w:w="57" w:type="dxa"/>
              <w:bottom w:w="57" w:type="dxa"/>
            </w:tcMar>
            <w:vAlign w:val="center"/>
          </w:tcPr>
          <w:p>
            <w:pPr>
              <w:pStyle w:val="22"/>
              <w:adjustRightInd w:val="0"/>
              <w:snapToGrid w:val="0"/>
              <w:jc w:val="center"/>
              <w:rPr>
                <w:rFonts w:ascii="Times New Roman" w:hAnsi="Times New Roman"/>
                <w:color w:val="auto"/>
                <w:sz w:val="21"/>
                <w:szCs w:val="21"/>
                <w:highlight w:val="none"/>
              </w:rPr>
            </w:pPr>
            <w:r>
              <w:rPr>
                <w:rFonts w:ascii="Times New Roman" w:hAnsi="Times New Roman"/>
                <w:color w:val="auto"/>
                <w:sz w:val="21"/>
                <w:szCs w:val="21"/>
                <w:highlight w:val="none"/>
              </w:rPr>
              <w:t>5</w:t>
            </w:r>
          </w:p>
        </w:tc>
        <w:tc>
          <w:tcPr>
            <w:tcW w:w="985" w:type="dxa"/>
            <w:tcMar>
              <w:top w:w="57" w:type="dxa"/>
              <w:bottom w:w="57" w:type="dxa"/>
            </w:tcMar>
            <w:vAlign w:val="center"/>
          </w:tcPr>
          <w:p>
            <w:pPr>
              <w:pStyle w:val="22"/>
              <w:adjustRightInd w:val="0"/>
              <w:snapToGrid w:val="0"/>
              <w:jc w:val="center"/>
              <w:rPr>
                <w:rFonts w:ascii="Times New Roman" w:hAnsi="Times New Roman"/>
                <w:color w:val="auto"/>
                <w:sz w:val="21"/>
                <w:szCs w:val="21"/>
                <w:highlight w:val="none"/>
              </w:rPr>
            </w:pPr>
            <w:r>
              <w:rPr>
                <w:rFonts w:ascii="Times New Roman" w:hAnsi="Times New Roman"/>
                <w:color w:val="auto"/>
                <w:sz w:val="21"/>
                <w:szCs w:val="21"/>
                <w:highlight w:val="none"/>
              </w:rPr>
              <w:t>5.1</w:t>
            </w:r>
          </w:p>
        </w:tc>
        <w:tc>
          <w:tcPr>
            <w:tcW w:w="8135" w:type="dxa"/>
            <w:tcMar>
              <w:top w:w="57" w:type="dxa"/>
              <w:bottom w:w="57" w:type="dxa"/>
            </w:tcMar>
            <w:vAlign w:val="center"/>
          </w:tcPr>
          <w:p>
            <w:pPr>
              <w:pStyle w:val="22"/>
              <w:adjustRightInd w:val="0"/>
              <w:snapToGrid w:val="0"/>
              <w:spacing w:line="440" w:lineRule="exact"/>
              <w:rPr>
                <w:rFonts w:ascii="Times New Roman" w:hAnsi="Times New Roman"/>
                <w:color w:val="auto"/>
                <w:sz w:val="21"/>
                <w:szCs w:val="21"/>
                <w:highlight w:val="none"/>
              </w:rPr>
            </w:pPr>
            <w:r>
              <w:rPr>
                <w:rFonts w:ascii="Times New Roman" w:hAnsi="Times New Roman"/>
                <w:color w:val="auto"/>
                <w:sz w:val="21"/>
                <w:szCs w:val="21"/>
                <w:highlight w:val="none"/>
              </w:rPr>
              <w:t>现场考察：</w:t>
            </w:r>
            <w:r>
              <w:rPr>
                <w:rFonts w:hint="eastAsia" w:ascii="Times New Roman" w:hAnsi="Times New Roman"/>
                <w:color w:val="auto"/>
                <w:sz w:val="21"/>
                <w:szCs w:val="21"/>
                <w:highlight w:val="none"/>
                <w:lang w:val="en-US" w:eastAsia="zh-CN"/>
              </w:rPr>
              <w:t>/</w:t>
            </w:r>
            <w:r>
              <w:rPr>
                <w:rFonts w:ascii="Times New Roman" w:hAnsi="Times New Roman"/>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20" w:type="dxa"/>
            <w:tcMar>
              <w:top w:w="57" w:type="dxa"/>
              <w:bottom w:w="57" w:type="dxa"/>
            </w:tcMar>
            <w:vAlign w:val="center"/>
          </w:tcPr>
          <w:p>
            <w:pPr>
              <w:pStyle w:val="22"/>
              <w:adjustRightInd w:val="0"/>
              <w:snapToGrid w:val="0"/>
              <w:jc w:val="center"/>
              <w:rPr>
                <w:rFonts w:ascii="Times New Roman" w:hAnsi="Times New Roman"/>
                <w:color w:val="auto"/>
                <w:sz w:val="21"/>
                <w:szCs w:val="21"/>
                <w:highlight w:val="none"/>
              </w:rPr>
            </w:pPr>
            <w:r>
              <w:rPr>
                <w:rFonts w:ascii="Times New Roman" w:hAnsi="Times New Roman"/>
                <w:color w:val="auto"/>
                <w:sz w:val="21"/>
                <w:szCs w:val="21"/>
                <w:highlight w:val="none"/>
              </w:rPr>
              <w:t>6</w:t>
            </w:r>
          </w:p>
        </w:tc>
        <w:tc>
          <w:tcPr>
            <w:tcW w:w="985" w:type="dxa"/>
            <w:tcMar>
              <w:top w:w="57" w:type="dxa"/>
              <w:bottom w:w="57" w:type="dxa"/>
            </w:tcMar>
            <w:vAlign w:val="center"/>
          </w:tcPr>
          <w:p>
            <w:pPr>
              <w:pStyle w:val="22"/>
              <w:adjustRightInd w:val="0"/>
              <w:snapToGrid w:val="0"/>
              <w:jc w:val="center"/>
              <w:rPr>
                <w:rFonts w:ascii="Times New Roman" w:hAnsi="Times New Roman"/>
                <w:color w:val="auto"/>
                <w:sz w:val="21"/>
                <w:szCs w:val="21"/>
                <w:highlight w:val="none"/>
              </w:rPr>
            </w:pPr>
            <w:r>
              <w:rPr>
                <w:rFonts w:ascii="Times New Roman" w:hAnsi="Times New Roman"/>
                <w:color w:val="auto"/>
                <w:sz w:val="21"/>
                <w:szCs w:val="21"/>
                <w:highlight w:val="none"/>
              </w:rPr>
              <w:t>7.1</w:t>
            </w:r>
          </w:p>
        </w:tc>
        <w:tc>
          <w:tcPr>
            <w:tcW w:w="8135" w:type="dxa"/>
            <w:tcMar>
              <w:top w:w="57" w:type="dxa"/>
              <w:bottom w:w="57" w:type="dxa"/>
            </w:tcMar>
            <w:vAlign w:val="center"/>
          </w:tcPr>
          <w:p>
            <w:pPr>
              <w:pStyle w:val="22"/>
              <w:adjustRightInd w:val="0"/>
              <w:snapToGrid w:val="0"/>
              <w:rPr>
                <w:rFonts w:ascii="Times New Roman" w:hAnsi="Times New Roman"/>
                <w:color w:val="auto"/>
                <w:sz w:val="21"/>
                <w:szCs w:val="21"/>
                <w:highlight w:val="none"/>
              </w:rPr>
            </w:pPr>
            <w:r>
              <w:rPr>
                <w:rFonts w:ascii="Times New Roman" w:hAnsi="Times New Roman"/>
                <w:color w:val="auto"/>
                <w:sz w:val="21"/>
                <w:szCs w:val="21"/>
                <w:highlight w:val="none"/>
              </w:rPr>
              <w:t>评比文件澄清截止时间：评比响应文件递交截止时间3日之前。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20" w:type="dxa"/>
            <w:tcMar>
              <w:top w:w="57" w:type="dxa"/>
              <w:bottom w:w="57" w:type="dxa"/>
            </w:tcMar>
            <w:vAlign w:val="center"/>
          </w:tcPr>
          <w:p>
            <w:pPr>
              <w:pStyle w:val="22"/>
              <w:adjustRightInd w:val="0"/>
              <w:snapToGrid w:val="0"/>
              <w:jc w:val="center"/>
              <w:rPr>
                <w:rFonts w:ascii="Times New Roman" w:hAnsi="Times New Roman"/>
                <w:color w:val="auto"/>
                <w:sz w:val="21"/>
                <w:szCs w:val="21"/>
                <w:highlight w:val="none"/>
              </w:rPr>
            </w:pPr>
            <w:r>
              <w:rPr>
                <w:rFonts w:ascii="Times New Roman" w:hAnsi="Times New Roman"/>
                <w:color w:val="auto"/>
                <w:sz w:val="21"/>
                <w:szCs w:val="21"/>
                <w:highlight w:val="none"/>
              </w:rPr>
              <w:t>7</w:t>
            </w:r>
          </w:p>
        </w:tc>
        <w:tc>
          <w:tcPr>
            <w:tcW w:w="985" w:type="dxa"/>
            <w:tcMar>
              <w:top w:w="57" w:type="dxa"/>
              <w:bottom w:w="57" w:type="dxa"/>
            </w:tcMar>
            <w:vAlign w:val="center"/>
          </w:tcPr>
          <w:p>
            <w:pPr>
              <w:pStyle w:val="22"/>
              <w:adjustRightInd w:val="0"/>
              <w:snapToGrid w:val="0"/>
              <w:jc w:val="center"/>
              <w:rPr>
                <w:rFonts w:ascii="Times New Roman" w:hAnsi="Times New Roman"/>
                <w:color w:val="auto"/>
                <w:sz w:val="21"/>
                <w:szCs w:val="21"/>
                <w:highlight w:val="none"/>
              </w:rPr>
            </w:pPr>
            <w:r>
              <w:rPr>
                <w:rFonts w:ascii="Times New Roman" w:hAnsi="Times New Roman"/>
                <w:color w:val="auto"/>
                <w:sz w:val="21"/>
                <w:szCs w:val="21"/>
                <w:highlight w:val="none"/>
              </w:rPr>
              <w:t>11.1</w:t>
            </w:r>
          </w:p>
        </w:tc>
        <w:tc>
          <w:tcPr>
            <w:tcW w:w="8135" w:type="dxa"/>
            <w:tcMar>
              <w:top w:w="57" w:type="dxa"/>
              <w:bottom w:w="57" w:type="dxa"/>
            </w:tcMar>
            <w:vAlign w:val="center"/>
          </w:tcPr>
          <w:p>
            <w:pPr>
              <w:pStyle w:val="22"/>
              <w:adjustRightInd w:val="0"/>
              <w:snapToGrid w:val="0"/>
              <w:rPr>
                <w:rFonts w:ascii="Times New Roman" w:hAnsi="Times New Roman"/>
                <w:color w:val="auto"/>
                <w:sz w:val="21"/>
                <w:szCs w:val="21"/>
                <w:highlight w:val="none"/>
              </w:rPr>
            </w:pPr>
            <w:r>
              <w:rPr>
                <w:rFonts w:ascii="Times New Roman" w:hAnsi="Times New Roman"/>
                <w:color w:val="auto"/>
                <w:sz w:val="21"/>
                <w:szCs w:val="21"/>
                <w:highlight w:val="none"/>
              </w:rPr>
              <w:t>评比有效期：自评比响应文件递交截止之日起算90日历日。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720" w:type="dxa"/>
            <w:tcMar>
              <w:top w:w="57" w:type="dxa"/>
              <w:bottom w:w="57" w:type="dxa"/>
            </w:tcMar>
            <w:vAlign w:val="center"/>
          </w:tcPr>
          <w:p>
            <w:pPr>
              <w:pStyle w:val="22"/>
              <w:adjustRightInd w:val="0"/>
              <w:snapToGrid w:val="0"/>
              <w:jc w:val="center"/>
              <w:rPr>
                <w:rFonts w:ascii="Times New Roman" w:hAnsi="Times New Roman"/>
                <w:color w:val="auto"/>
                <w:sz w:val="21"/>
                <w:szCs w:val="21"/>
                <w:highlight w:val="none"/>
              </w:rPr>
            </w:pPr>
            <w:r>
              <w:rPr>
                <w:rFonts w:ascii="Times New Roman" w:hAnsi="Times New Roman"/>
                <w:color w:val="auto"/>
                <w:sz w:val="21"/>
                <w:szCs w:val="21"/>
                <w:highlight w:val="none"/>
              </w:rPr>
              <w:t>8</w:t>
            </w:r>
          </w:p>
        </w:tc>
        <w:tc>
          <w:tcPr>
            <w:tcW w:w="985" w:type="dxa"/>
            <w:tcMar>
              <w:top w:w="57" w:type="dxa"/>
              <w:bottom w:w="57" w:type="dxa"/>
            </w:tcMar>
            <w:vAlign w:val="center"/>
          </w:tcPr>
          <w:p>
            <w:pPr>
              <w:pStyle w:val="22"/>
              <w:adjustRightInd w:val="0"/>
              <w:snapToGrid w:val="0"/>
              <w:jc w:val="center"/>
              <w:rPr>
                <w:rFonts w:ascii="Times New Roman" w:hAnsi="Times New Roman"/>
                <w:color w:val="auto"/>
                <w:sz w:val="21"/>
                <w:szCs w:val="21"/>
                <w:highlight w:val="none"/>
              </w:rPr>
            </w:pPr>
            <w:r>
              <w:rPr>
                <w:rFonts w:ascii="Times New Roman" w:hAnsi="Times New Roman"/>
                <w:color w:val="auto"/>
                <w:sz w:val="21"/>
                <w:szCs w:val="21"/>
                <w:highlight w:val="none"/>
              </w:rPr>
              <w:t>12.1</w:t>
            </w:r>
          </w:p>
        </w:tc>
        <w:tc>
          <w:tcPr>
            <w:tcW w:w="8135" w:type="dxa"/>
            <w:tcMar>
              <w:top w:w="57" w:type="dxa"/>
              <w:bottom w:w="57" w:type="dxa"/>
            </w:tcMar>
            <w:vAlign w:val="center"/>
          </w:tcPr>
          <w:p>
            <w:pPr>
              <w:autoSpaceDE w:val="0"/>
              <w:autoSpaceDN w:val="0"/>
              <w:adjustRightInd w:val="0"/>
              <w:snapToGrid w:val="0"/>
              <w:spacing w:after="120"/>
              <w:rPr>
                <w:color w:val="auto"/>
                <w:szCs w:val="21"/>
                <w:highlight w:val="none"/>
              </w:rPr>
            </w:pPr>
            <w:r>
              <w:rPr>
                <w:color w:val="auto"/>
                <w:szCs w:val="21"/>
                <w:highlight w:val="none"/>
              </w:rPr>
              <w:t>评比保证金：无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20" w:type="dxa"/>
            <w:tcMar>
              <w:top w:w="57" w:type="dxa"/>
              <w:bottom w:w="57" w:type="dxa"/>
            </w:tcMar>
            <w:vAlign w:val="center"/>
          </w:tcPr>
          <w:p>
            <w:pPr>
              <w:pStyle w:val="22"/>
              <w:adjustRightInd w:val="0"/>
              <w:snapToGrid w:val="0"/>
              <w:jc w:val="center"/>
              <w:rPr>
                <w:rFonts w:ascii="Times New Roman" w:hAnsi="Times New Roman"/>
                <w:color w:val="auto"/>
                <w:sz w:val="21"/>
                <w:szCs w:val="21"/>
                <w:highlight w:val="none"/>
              </w:rPr>
            </w:pPr>
            <w:r>
              <w:rPr>
                <w:rFonts w:ascii="Times New Roman" w:hAnsi="Times New Roman"/>
                <w:color w:val="auto"/>
                <w:sz w:val="21"/>
                <w:szCs w:val="21"/>
                <w:highlight w:val="none"/>
              </w:rPr>
              <w:t>9</w:t>
            </w:r>
          </w:p>
        </w:tc>
        <w:tc>
          <w:tcPr>
            <w:tcW w:w="985" w:type="dxa"/>
            <w:tcMar>
              <w:top w:w="57" w:type="dxa"/>
              <w:bottom w:w="57" w:type="dxa"/>
            </w:tcMar>
            <w:vAlign w:val="center"/>
          </w:tcPr>
          <w:p>
            <w:pPr>
              <w:pStyle w:val="22"/>
              <w:adjustRightInd w:val="0"/>
              <w:snapToGrid w:val="0"/>
              <w:jc w:val="center"/>
              <w:rPr>
                <w:rFonts w:ascii="Times New Roman" w:hAnsi="Times New Roman"/>
                <w:color w:val="auto"/>
                <w:sz w:val="21"/>
                <w:szCs w:val="21"/>
                <w:highlight w:val="none"/>
              </w:rPr>
            </w:pPr>
            <w:r>
              <w:rPr>
                <w:rFonts w:ascii="Times New Roman" w:hAnsi="Times New Roman"/>
                <w:color w:val="auto"/>
                <w:sz w:val="21"/>
                <w:szCs w:val="21"/>
                <w:highlight w:val="none"/>
              </w:rPr>
              <w:t>13.1</w:t>
            </w:r>
          </w:p>
        </w:tc>
        <w:tc>
          <w:tcPr>
            <w:tcW w:w="8135" w:type="dxa"/>
            <w:tcMar>
              <w:top w:w="57" w:type="dxa"/>
              <w:bottom w:w="57" w:type="dxa"/>
            </w:tcMar>
            <w:vAlign w:val="center"/>
          </w:tcPr>
          <w:p>
            <w:pPr>
              <w:pStyle w:val="22"/>
              <w:adjustRightInd w:val="0"/>
              <w:snapToGrid w:val="0"/>
              <w:spacing w:line="440" w:lineRule="exact"/>
              <w:rPr>
                <w:rFonts w:ascii="Times New Roman" w:hAnsi="Times New Roman"/>
                <w:color w:val="auto"/>
                <w:sz w:val="21"/>
                <w:szCs w:val="21"/>
                <w:highlight w:val="none"/>
              </w:rPr>
            </w:pPr>
            <w:r>
              <w:rPr>
                <w:rFonts w:ascii="Times New Roman" w:hAnsi="Times New Roman"/>
                <w:color w:val="auto"/>
                <w:sz w:val="21"/>
                <w:szCs w:val="21"/>
                <w:highlight w:val="none"/>
              </w:rPr>
              <w:t>评比响应文件的份数：</w:t>
            </w:r>
            <w:r>
              <w:rPr>
                <w:rFonts w:ascii="Times New Roman" w:hAnsi="Times New Roman"/>
                <w:b/>
                <w:color w:val="auto"/>
                <w:sz w:val="21"/>
                <w:szCs w:val="21"/>
                <w:highlight w:val="none"/>
              </w:rPr>
              <w:t>纸质文件正本1份，副本2份，电子版1份（推荐采用光盘或U盘为电子文档载体）。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720" w:type="dxa"/>
            <w:tcMar>
              <w:top w:w="57" w:type="dxa"/>
              <w:bottom w:w="57" w:type="dxa"/>
            </w:tcMar>
            <w:vAlign w:val="center"/>
          </w:tcPr>
          <w:p>
            <w:pPr>
              <w:pStyle w:val="22"/>
              <w:adjustRightInd w:val="0"/>
              <w:snapToGrid w:val="0"/>
              <w:jc w:val="center"/>
              <w:rPr>
                <w:rFonts w:ascii="Times New Roman" w:hAnsi="Times New Roman"/>
                <w:color w:val="auto"/>
                <w:sz w:val="21"/>
                <w:szCs w:val="21"/>
                <w:highlight w:val="none"/>
              </w:rPr>
            </w:pPr>
            <w:r>
              <w:rPr>
                <w:rFonts w:ascii="Times New Roman" w:hAnsi="Times New Roman"/>
                <w:color w:val="auto"/>
                <w:sz w:val="21"/>
                <w:szCs w:val="21"/>
                <w:highlight w:val="none"/>
              </w:rPr>
              <w:t>10</w:t>
            </w:r>
          </w:p>
        </w:tc>
        <w:tc>
          <w:tcPr>
            <w:tcW w:w="985" w:type="dxa"/>
            <w:tcMar>
              <w:top w:w="57" w:type="dxa"/>
              <w:bottom w:w="57" w:type="dxa"/>
            </w:tcMar>
            <w:vAlign w:val="center"/>
          </w:tcPr>
          <w:p>
            <w:pPr>
              <w:pStyle w:val="22"/>
              <w:adjustRightInd w:val="0"/>
              <w:snapToGrid w:val="0"/>
              <w:jc w:val="center"/>
              <w:rPr>
                <w:rFonts w:ascii="Times New Roman" w:hAnsi="Times New Roman"/>
                <w:color w:val="auto"/>
                <w:sz w:val="21"/>
                <w:szCs w:val="21"/>
                <w:highlight w:val="none"/>
              </w:rPr>
            </w:pPr>
            <w:r>
              <w:rPr>
                <w:rFonts w:ascii="Times New Roman" w:hAnsi="Times New Roman"/>
                <w:color w:val="auto"/>
                <w:sz w:val="21"/>
                <w:szCs w:val="21"/>
                <w:highlight w:val="none"/>
              </w:rPr>
              <w:t>15.1</w:t>
            </w:r>
          </w:p>
        </w:tc>
        <w:tc>
          <w:tcPr>
            <w:tcW w:w="8135" w:type="dxa"/>
            <w:tcMar>
              <w:top w:w="57" w:type="dxa"/>
              <w:bottom w:w="57" w:type="dxa"/>
            </w:tcMar>
            <w:vAlign w:val="center"/>
          </w:tcPr>
          <w:p>
            <w:pPr>
              <w:adjustRightInd w:val="0"/>
              <w:snapToGrid w:val="0"/>
              <w:spacing w:line="440" w:lineRule="exact"/>
              <w:rPr>
                <w:color w:val="auto"/>
                <w:szCs w:val="21"/>
                <w:highlight w:val="none"/>
              </w:rPr>
            </w:pPr>
            <w:r>
              <w:rPr>
                <w:color w:val="auto"/>
                <w:szCs w:val="21"/>
                <w:highlight w:val="none"/>
              </w:rPr>
              <w:t>评比响应文件递交截止时间：202</w:t>
            </w:r>
            <w:r>
              <w:rPr>
                <w:rFonts w:hint="eastAsia"/>
                <w:color w:val="auto"/>
                <w:szCs w:val="21"/>
                <w:highlight w:val="none"/>
                <w:lang w:val="en-US" w:eastAsia="zh-CN"/>
              </w:rPr>
              <w:t>3</w:t>
            </w:r>
            <w:r>
              <w:rPr>
                <w:color w:val="auto"/>
                <w:szCs w:val="21"/>
                <w:highlight w:val="none"/>
              </w:rPr>
              <w:t>年</w:t>
            </w:r>
            <w:r>
              <w:rPr>
                <w:rFonts w:hint="eastAsia"/>
                <w:color w:val="auto"/>
                <w:szCs w:val="21"/>
                <w:highlight w:val="none"/>
                <w:lang w:val="en-US" w:eastAsia="zh-CN"/>
              </w:rPr>
              <w:t>5</w:t>
            </w:r>
            <w:r>
              <w:rPr>
                <w:color w:val="auto"/>
                <w:szCs w:val="21"/>
                <w:highlight w:val="none"/>
              </w:rPr>
              <w:t>月</w:t>
            </w:r>
            <w:r>
              <w:rPr>
                <w:rFonts w:hint="eastAsia"/>
                <w:color w:val="auto"/>
                <w:szCs w:val="21"/>
                <w:highlight w:val="none"/>
                <w:lang w:val="en-US" w:eastAsia="zh-CN"/>
              </w:rPr>
              <w:t>26</w:t>
            </w:r>
            <w:r>
              <w:rPr>
                <w:color w:val="auto"/>
                <w:szCs w:val="21"/>
                <w:highlight w:val="none"/>
              </w:rPr>
              <w:t>日</w:t>
            </w:r>
            <w:r>
              <w:rPr>
                <w:rFonts w:hint="eastAsia"/>
                <w:color w:val="auto"/>
                <w:szCs w:val="21"/>
                <w:highlight w:val="none"/>
                <w:lang w:val="en-US" w:eastAsia="zh-CN"/>
              </w:rPr>
              <w:t>下</w:t>
            </w:r>
            <w:r>
              <w:rPr>
                <w:color w:val="auto"/>
                <w:szCs w:val="21"/>
                <w:highlight w:val="none"/>
              </w:rPr>
              <w:t>午1</w:t>
            </w:r>
            <w:r>
              <w:rPr>
                <w:rFonts w:hint="eastAsia"/>
                <w:color w:val="auto"/>
                <w:szCs w:val="21"/>
                <w:highlight w:val="none"/>
                <w:lang w:val="en-US" w:eastAsia="zh-CN"/>
              </w:rPr>
              <w:t>4</w:t>
            </w:r>
            <w:r>
              <w:rPr>
                <w:color w:val="auto"/>
                <w:szCs w:val="21"/>
                <w:highlight w:val="none"/>
              </w:rPr>
              <w:t>：</w:t>
            </w:r>
            <w:r>
              <w:rPr>
                <w:rFonts w:hint="eastAsia"/>
                <w:color w:val="auto"/>
                <w:szCs w:val="21"/>
                <w:highlight w:val="none"/>
                <w:lang w:val="en-US" w:eastAsia="zh-CN"/>
              </w:rPr>
              <w:t>3</w:t>
            </w:r>
            <w:r>
              <w:rPr>
                <w:color w:val="auto"/>
                <w:szCs w:val="21"/>
                <w:highlight w:val="none"/>
              </w:rPr>
              <w:t>0（北京时间）</w:t>
            </w:r>
          </w:p>
          <w:p>
            <w:pPr>
              <w:adjustRightInd w:val="0"/>
              <w:snapToGrid w:val="0"/>
              <w:spacing w:line="440" w:lineRule="exact"/>
              <w:rPr>
                <w:color w:val="auto"/>
                <w:szCs w:val="21"/>
                <w:highlight w:val="none"/>
              </w:rPr>
            </w:pPr>
            <w:r>
              <w:rPr>
                <w:color w:val="auto"/>
                <w:szCs w:val="21"/>
                <w:highlight w:val="none"/>
              </w:rPr>
              <w:t>评比响应文件递交地点：重庆市渝中区双钢路1号8号楼1楼（重庆赛迪工程咨询有限公司会议中心）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720" w:type="dxa"/>
            <w:tcMar>
              <w:top w:w="57" w:type="dxa"/>
              <w:bottom w:w="57" w:type="dxa"/>
            </w:tcMar>
            <w:vAlign w:val="center"/>
          </w:tcPr>
          <w:p>
            <w:pPr>
              <w:pStyle w:val="22"/>
              <w:adjustRightInd w:val="0"/>
              <w:snapToGrid w:val="0"/>
              <w:jc w:val="center"/>
              <w:rPr>
                <w:rFonts w:ascii="Times New Roman" w:hAnsi="Times New Roman"/>
                <w:color w:val="auto"/>
                <w:sz w:val="21"/>
                <w:szCs w:val="21"/>
                <w:highlight w:val="none"/>
              </w:rPr>
            </w:pPr>
            <w:r>
              <w:rPr>
                <w:rFonts w:ascii="Times New Roman" w:hAnsi="Times New Roman"/>
                <w:color w:val="auto"/>
                <w:sz w:val="21"/>
                <w:szCs w:val="21"/>
                <w:highlight w:val="none"/>
              </w:rPr>
              <w:t>11</w:t>
            </w:r>
          </w:p>
        </w:tc>
        <w:tc>
          <w:tcPr>
            <w:tcW w:w="985" w:type="dxa"/>
            <w:tcMar>
              <w:top w:w="57" w:type="dxa"/>
              <w:bottom w:w="57" w:type="dxa"/>
            </w:tcMar>
            <w:vAlign w:val="center"/>
          </w:tcPr>
          <w:p>
            <w:pPr>
              <w:pStyle w:val="22"/>
              <w:adjustRightInd w:val="0"/>
              <w:snapToGrid w:val="0"/>
              <w:jc w:val="center"/>
              <w:rPr>
                <w:rFonts w:ascii="Times New Roman" w:hAnsi="Times New Roman"/>
                <w:color w:val="auto"/>
                <w:sz w:val="21"/>
                <w:szCs w:val="21"/>
                <w:highlight w:val="none"/>
              </w:rPr>
            </w:pPr>
            <w:r>
              <w:rPr>
                <w:rFonts w:ascii="Times New Roman" w:hAnsi="Times New Roman"/>
                <w:color w:val="auto"/>
                <w:sz w:val="21"/>
                <w:szCs w:val="21"/>
                <w:highlight w:val="none"/>
              </w:rPr>
              <w:t>18.1</w:t>
            </w:r>
          </w:p>
        </w:tc>
        <w:tc>
          <w:tcPr>
            <w:tcW w:w="8135" w:type="dxa"/>
            <w:tcMar>
              <w:top w:w="57" w:type="dxa"/>
              <w:bottom w:w="57" w:type="dxa"/>
            </w:tcMar>
            <w:vAlign w:val="center"/>
          </w:tcPr>
          <w:p>
            <w:pPr>
              <w:adjustRightInd w:val="0"/>
              <w:snapToGrid w:val="0"/>
              <w:spacing w:line="440" w:lineRule="exact"/>
              <w:rPr>
                <w:color w:val="auto"/>
                <w:szCs w:val="21"/>
                <w:highlight w:val="none"/>
              </w:rPr>
            </w:pPr>
            <w:r>
              <w:rPr>
                <w:color w:val="auto"/>
                <w:szCs w:val="21"/>
                <w:highlight w:val="none"/>
              </w:rPr>
              <w:t>评比时间：202</w:t>
            </w:r>
            <w:r>
              <w:rPr>
                <w:rFonts w:hint="eastAsia"/>
                <w:color w:val="auto"/>
                <w:szCs w:val="21"/>
                <w:highlight w:val="none"/>
                <w:lang w:val="en-US" w:eastAsia="zh-CN"/>
              </w:rPr>
              <w:t>3</w:t>
            </w:r>
            <w:r>
              <w:rPr>
                <w:color w:val="auto"/>
                <w:szCs w:val="21"/>
                <w:highlight w:val="none"/>
              </w:rPr>
              <w:t>年</w:t>
            </w:r>
            <w:r>
              <w:rPr>
                <w:rFonts w:hint="eastAsia"/>
                <w:color w:val="auto"/>
                <w:szCs w:val="21"/>
                <w:highlight w:val="none"/>
                <w:lang w:val="en-US" w:eastAsia="zh-CN"/>
              </w:rPr>
              <w:t>5</w:t>
            </w:r>
            <w:r>
              <w:rPr>
                <w:color w:val="auto"/>
                <w:szCs w:val="21"/>
                <w:highlight w:val="none"/>
              </w:rPr>
              <w:t>月</w:t>
            </w:r>
            <w:r>
              <w:rPr>
                <w:rFonts w:hint="eastAsia"/>
                <w:color w:val="auto"/>
                <w:szCs w:val="21"/>
                <w:highlight w:val="none"/>
                <w:lang w:val="en-US" w:eastAsia="zh-CN"/>
              </w:rPr>
              <w:t>26</w:t>
            </w:r>
            <w:r>
              <w:rPr>
                <w:color w:val="auto"/>
                <w:szCs w:val="21"/>
                <w:highlight w:val="none"/>
              </w:rPr>
              <w:t>日</w:t>
            </w:r>
            <w:r>
              <w:rPr>
                <w:rFonts w:hint="eastAsia"/>
                <w:color w:val="auto"/>
                <w:szCs w:val="21"/>
                <w:highlight w:val="none"/>
                <w:lang w:val="en-US" w:eastAsia="zh-CN"/>
              </w:rPr>
              <w:t>下</w:t>
            </w:r>
            <w:r>
              <w:rPr>
                <w:color w:val="auto"/>
                <w:szCs w:val="21"/>
                <w:highlight w:val="none"/>
              </w:rPr>
              <w:t>午</w:t>
            </w:r>
            <w:r>
              <w:rPr>
                <w:rFonts w:hint="eastAsia"/>
                <w:color w:val="auto"/>
                <w:szCs w:val="21"/>
                <w:highlight w:val="none"/>
                <w:lang w:val="en-US" w:eastAsia="zh-CN"/>
              </w:rPr>
              <w:t>14</w:t>
            </w:r>
            <w:r>
              <w:rPr>
                <w:color w:val="auto"/>
                <w:szCs w:val="21"/>
                <w:highlight w:val="none"/>
              </w:rPr>
              <w:t>:</w:t>
            </w:r>
            <w:r>
              <w:rPr>
                <w:rFonts w:hint="eastAsia"/>
                <w:color w:val="auto"/>
                <w:szCs w:val="21"/>
                <w:highlight w:val="none"/>
                <w:lang w:val="en-US" w:eastAsia="zh-CN"/>
              </w:rPr>
              <w:t>3</w:t>
            </w:r>
            <w:r>
              <w:rPr>
                <w:color w:val="auto"/>
                <w:szCs w:val="21"/>
                <w:highlight w:val="none"/>
              </w:rPr>
              <w:t>0（北京时间）</w:t>
            </w:r>
          </w:p>
          <w:p>
            <w:pPr>
              <w:adjustRightInd w:val="0"/>
              <w:snapToGrid w:val="0"/>
              <w:spacing w:line="440" w:lineRule="exact"/>
              <w:rPr>
                <w:color w:val="auto"/>
                <w:szCs w:val="21"/>
                <w:highlight w:val="none"/>
              </w:rPr>
            </w:pPr>
            <w:r>
              <w:rPr>
                <w:color w:val="auto"/>
                <w:szCs w:val="21"/>
                <w:highlight w:val="none"/>
              </w:rPr>
              <w:t>评比地点：重庆市渝中区双钢路1号8号楼1楼（重庆赛迪工程咨询有限公司会议中心）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0" w:type="dxa"/>
            <w:tcMar>
              <w:top w:w="57" w:type="dxa"/>
              <w:bottom w:w="57" w:type="dxa"/>
            </w:tcMar>
            <w:vAlign w:val="center"/>
          </w:tcPr>
          <w:p>
            <w:pPr>
              <w:pStyle w:val="22"/>
              <w:adjustRightInd w:val="0"/>
              <w:snapToGrid w:val="0"/>
              <w:jc w:val="center"/>
              <w:rPr>
                <w:rFonts w:ascii="Times New Roman" w:hAnsi="Times New Roman"/>
                <w:color w:val="auto"/>
                <w:sz w:val="21"/>
                <w:szCs w:val="21"/>
                <w:highlight w:val="none"/>
              </w:rPr>
            </w:pPr>
            <w:r>
              <w:rPr>
                <w:rFonts w:ascii="Times New Roman" w:hAnsi="Times New Roman"/>
                <w:color w:val="auto"/>
                <w:sz w:val="21"/>
                <w:szCs w:val="21"/>
                <w:highlight w:val="none"/>
              </w:rPr>
              <w:t>12</w:t>
            </w:r>
          </w:p>
        </w:tc>
        <w:tc>
          <w:tcPr>
            <w:tcW w:w="985" w:type="dxa"/>
            <w:tcMar>
              <w:top w:w="57" w:type="dxa"/>
              <w:bottom w:w="57" w:type="dxa"/>
            </w:tcMar>
            <w:vAlign w:val="center"/>
          </w:tcPr>
          <w:p>
            <w:pPr>
              <w:pStyle w:val="22"/>
              <w:adjustRightInd w:val="0"/>
              <w:snapToGrid w:val="0"/>
              <w:jc w:val="center"/>
              <w:rPr>
                <w:rFonts w:ascii="Times New Roman" w:hAnsi="Times New Roman"/>
                <w:color w:val="auto"/>
                <w:sz w:val="21"/>
                <w:szCs w:val="21"/>
                <w:highlight w:val="none"/>
              </w:rPr>
            </w:pPr>
            <w:r>
              <w:rPr>
                <w:rFonts w:ascii="Times New Roman" w:hAnsi="Times New Roman"/>
                <w:color w:val="auto"/>
                <w:sz w:val="21"/>
                <w:szCs w:val="21"/>
                <w:highlight w:val="none"/>
              </w:rPr>
              <w:t>23.1</w:t>
            </w:r>
          </w:p>
        </w:tc>
        <w:tc>
          <w:tcPr>
            <w:tcW w:w="8135" w:type="dxa"/>
            <w:tcMar>
              <w:top w:w="57" w:type="dxa"/>
              <w:bottom w:w="57" w:type="dxa"/>
            </w:tcMar>
            <w:vAlign w:val="center"/>
          </w:tcPr>
          <w:p>
            <w:pPr>
              <w:pStyle w:val="22"/>
              <w:adjustRightInd w:val="0"/>
              <w:snapToGrid w:val="0"/>
              <w:spacing w:line="440" w:lineRule="exact"/>
              <w:rPr>
                <w:rFonts w:ascii="Times New Roman" w:hAnsi="Times New Roman"/>
                <w:color w:val="auto"/>
                <w:sz w:val="21"/>
                <w:szCs w:val="21"/>
                <w:highlight w:val="none"/>
              </w:rPr>
            </w:pPr>
            <w:r>
              <w:rPr>
                <w:rFonts w:ascii="Times New Roman" w:hAnsi="Times New Roman"/>
                <w:color w:val="auto"/>
                <w:sz w:val="21"/>
                <w:szCs w:val="21"/>
                <w:highlight w:val="none"/>
              </w:rPr>
              <w:t>评审办法：综合评分法。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0" w:type="dxa"/>
            <w:tcMar>
              <w:top w:w="57" w:type="dxa"/>
              <w:bottom w:w="57" w:type="dxa"/>
            </w:tcMar>
            <w:vAlign w:val="center"/>
          </w:tcPr>
          <w:p>
            <w:pPr>
              <w:pStyle w:val="22"/>
              <w:adjustRightInd w:val="0"/>
              <w:snapToGrid w:val="0"/>
              <w:jc w:val="center"/>
              <w:rPr>
                <w:rFonts w:ascii="Times New Roman" w:hAnsi="Times New Roman"/>
                <w:color w:val="auto"/>
                <w:sz w:val="21"/>
                <w:szCs w:val="21"/>
                <w:highlight w:val="none"/>
              </w:rPr>
            </w:pPr>
            <w:r>
              <w:rPr>
                <w:rFonts w:ascii="Times New Roman" w:hAnsi="Times New Roman"/>
                <w:color w:val="auto"/>
                <w:sz w:val="21"/>
                <w:szCs w:val="21"/>
                <w:highlight w:val="none"/>
              </w:rPr>
              <w:t>13</w:t>
            </w:r>
          </w:p>
        </w:tc>
        <w:tc>
          <w:tcPr>
            <w:tcW w:w="985" w:type="dxa"/>
            <w:tcMar>
              <w:top w:w="57" w:type="dxa"/>
              <w:bottom w:w="57" w:type="dxa"/>
            </w:tcMar>
            <w:vAlign w:val="center"/>
          </w:tcPr>
          <w:p>
            <w:pPr>
              <w:pStyle w:val="22"/>
              <w:adjustRightInd w:val="0"/>
              <w:snapToGrid w:val="0"/>
              <w:jc w:val="center"/>
              <w:rPr>
                <w:rFonts w:ascii="Times New Roman" w:hAnsi="Times New Roman"/>
                <w:color w:val="auto"/>
                <w:sz w:val="21"/>
                <w:szCs w:val="21"/>
                <w:highlight w:val="none"/>
              </w:rPr>
            </w:pPr>
            <w:r>
              <w:rPr>
                <w:rFonts w:ascii="Times New Roman" w:hAnsi="Times New Roman"/>
                <w:color w:val="auto"/>
                <w:sz w:val="21"/>
                <w:szCs w:val="21"/>
                <w:highlight w:val="none"/>
              </w:rPr>
              <w:t>代理服务费计算</w:t>
            </w:r>
          </w:p>
        </w:tc>
        <w:tc>
          <w:tcPr>
            <w:tcW w:w="8135" w:type="dxa"/>
            <w:tcMar>
              <w:top w:w="57" w:type="dxa"/>
              <w:bottom w:w="57" w:type="dxa"/>
            </w:tcMar>
            <w:vAlign w:val="center"/>
          </w:tcPr>
          <w:p>
            <w:pPr>
              <w:pStyle w:val="22"/>
              <w:adjustRightInd w:val="0"/>
              <w:snapToGrid w:val="0"/>
              <w:spacing w:line="440" w:lineRule="exact"/>
              <w:rPr>
                <w:rFonts w:ascii="Times New Roman" w:hAnsi="Times New Roman"/>
                <w:color w:val="auto"/>
                <w:sz w:val="21"/>
                <w:szCs w:val="21"/>
                <w:highlight w:val="none"/>
              </w:rPr>
            </w:pPr>
            <w:r>
              <w:rPr>
                <w:rFonts w:ascii="Times New Roman" w:hAnsi="Times New Roman"/>
                <w:color w:val="auto"/>
                <w:sz w:val="21"/>
                <w:szCs w:val="21"/>
                <w:highlight w:val="none"/>
              </w:rPr>
              <w:t>按“计价格[2002]1980号”、“发改价格[2011]534号”文件所列的“货物类”收费标准按差额累进方式计算。由成交供应商在领取成交通知书时向采购代理机构一次性支付。</w:t>
            </w:r>
          </w:p>
          <w:p>
            <w:pPr>
              <w:snapToGrid w:val="0"/>
              <w:spacing w:line="440" w:lineRule="exact"/>
              <w:ind w:firstLine="420" w:firstLineChars="200"/>
              <w:rPr>
                <w:color w:val="auto"/>
                <w:szCs w:val="21"/>
                <w:highlight w:val="none"/>
              </w:rPr>
            </w:pPr>
            <w:r>
              <w:rPr>
                <w:color w:val="auto"/>
                <w:szCs w:val="21"/>
                <w:highlight w:val="none"/>
              </w:rPr>
              <w:t>户 名：重庆赛迪工程咨询有限公司</w:t>
            </w:r>
          </w:p>
          <w:p>
            <w:pPr>
              <w:snapToGrid w:val="0"/>
              <w:spacing w:line="440" w:lineRule="exact"/>
              <w:ind w:firstLine="420" w:firstLineChars="200"/>
              <w:rPr>
                <w:color w:val="auto"/>
                <w:szCs w:val="21"/>
                <w:highlight w:val="none"/>
              </w:rPr>
            </w:pPr>
            <w:r>
              <w:rPr>
                <w:color w:val="auto"/>
                <w:szCs w:val="21"/>
                <w:highlight w:val="none"/>
              </w:rPr>
              <w:t>开户行：中国工商银行重庆大溪沟支行</w:t>
            </w:r>
          </w:p>
          <w:p>
            <w:pPr>
              <w:snapToGrid w:val="0"/>
              <w:spacing w:line="440" w:lineRule="exact"/>
              <w:ind w:firstLine="420" w:firstLineChars="200"/>
              <w:rPr>
                <w:color w:val="auto"/>
                <w:szCs w:val="21"/>
                <w:highlight w:val="none"/>
              </w:rPr>
            </w:pPr>
            <w:r>
              <w:rPr>
                <w:color w:val="auto"/>
                <w:szCs w:val="21"/>
                <w:highlight w:val="none"/>
              </w:rPr>
              <w:t>账 号：3100021409024809491</w:t>
            </w:r>
          </w:p>
          <w:p>
            <w:pPr>
              <w:snapToGrid w:val="0"/>
              <w:spacing w:line="440" w:lineRule="exact"/>
              <w:ind w:firstLine="420" w:firstLineChars="200"/>
              <w:rPr>
                <w:color w:val="auto"/>
                <w:szCs w:val="21"/>
                <w:highlight w:val="none"/>
              </w:rPr>
            </w:pPr>
            <w:r>
              <w:rPr>
                <w:color w:val="auto"/>
                <w:szCs w:val="21"/>
                <w:highlight w:val="none"/>
              </w:rPr>
              <w:t>银行联行号：102653000064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0" w:type="dxa"/>
            <w:tcMar>
              <w:top w:w="57" w:type="dxa"/>
              <w:bottom w:w="57" w:type="dxa"/>
            </w:tcMar>
            <w:vAlign w:val="center"/>
          </w:tcPr>
          <w:p>
            <w:pPr>
              <w:pStyle w:val="22"/>
              <w:adjustRightInd w:val="0"/>
              <w:snapToGrid w:val="0"/>
              <w:jc w:val="center"/>
              <w:rPr>
                <w:rFonts w:ascii="Times New Roman" w:hAnsi="Times New Roman"/>
                <w:color w:val="auto"/>
                <w:sz w:val="21"/>
                <w:szCs w:val="21"/>
                <w:highlight w:val="none"/>
              </w:rPr>
            </w:pPr>
            <w:r>
              <w:rPr>
                <w:rFonts w:ascii="Times New Roman" w:hAnsi="Times New Roman"/>
                <w:color w:val="auto"/>
                <w:sz w:val="21"/>
                <w:szCs w:val="21"/>
                <w:highlight w:val="none"/>
              </w:rPr>
              <w:t>14</w:t>
            </w:r>
          </w:p>
        </w:tc>
        <w:tc>
          <w:tcPr>
            <w:tcW w:w="985" w:type="dxa"/>
            <w:tcMar>
              <w:top w:w="57" w:type="dxa"/>
              <w:bottom w:w="57" w:type="dxa"/>
            </w:tcMar>
            <w:vAlign w:val="center"/>
          </w:tcPr>
          <w:p>
            <w:pPr>
              <w:pStyle w:val="22"/>
              <w:adjustRightInd w:val="0"/>
              <w:snapToGrid w:val="0"/>
              <w:jc w:val="center"/>
              <w:rPr>
                <w:rFonts w:ascii="Times New Roman" w:hAnsi="Times New Roman"/>
                <w:color w:val="auto"/>
                <w:sz w:val="21"/>
                <w:szCs w:val="21"/>
                <w:highlight w:val="none"/>
              </w:rPr>
            </w:pPr>
            <w:r>
              <w:rPr>
                <w:rFonts w:ascii="Times New Roman" w:hAnsi="Times New Roman"/>
                <w:color w:val="auto"/>
                <w:sz w:val="21"/>
                <w:szCs w:val="21"/>
                <w:highlight w:val="none"/>
              </w:rPr>
              <w:t>报价要求</w:t>
            </w:r>
          </w:p>
        </w:tc>
        <w:tc>
          <w:tcPr>
            <w:tcW w:w="8135" w:type="dxa"/>
            <w:tcMar>
              <w:top w:w="57" w:type="dxa"/>
              <w:bottom w:w="57" w:type="dxa"/>
            </w:tcMar>
            <w:vAlign w:val="center"/>
          </w:tcPr>
          <w:p>
            <w:pPr>
              <w:snapToGrid w:val="0"/>
              <w:spacing w:line="440" w:lineRule="exact"/>
              <w:ind w:firstLine="420" w:firstLineChars="200"/>
              <w:rPr>
                <w:color w:val="auto"/>
                <w:szCs w:val="21"/>
                <w:highlight w:val="none"/>
              </w:rPr>
            </w:pPr>
            <w:r>
              <w:rPr>
                <w:color w:val="auto"/>
                <w:szCs w:val="21"/>
                <w:highlight w:val="none"/>
              </w:rPr>
              <w:t>本次报价须为人民币包干报价</w:t>
            </w:r>
            <w:bookmarkStart w:id="6" w:name="_Hlk531684175"/>
            <w:r>
              <w:rPr>
                <w:color w:val="auto"/>
                <w:szCs w:val="21"/>
                <w:highlight w:val="none"/>
              </w:rPr>
              <w:t>。供应商的评比报价应为产品送达采购人指定地点，安装调试完成且最终验收合格，以及包含质保期内的所有费用的总和，包括但不限于设备出厂价、人工费、运输费（含装卸费）、保险、安装、架设、调试、检测、验收、质保期售后、操作培训、技术服务、质保期内备品备件、专用工具、专有技术使用（转让）和专利技术使用费（若有）、采购代理服务费、企业管理费、企业利润、企业税金，以及一切可预见和不可预见的、合同明示或暗示的应由供应商承担的一切责任、义务和风险费用等。</w:t>
            </w:r>
            <w:bookmarkEnd w:id="6"/>
            <w:r>
              <w:rPr>
                <w:color w:val="auto"/>
                <w:szCs w:val="21"/>
                <w:highlight w:val="none"/>
              </w:rPr>
              <w:t>供应商在评比报价时应充分考虑承担本项目的所有风险因素，任何因自身原因造成漏报、少报的费用，均由供应商自行承担，合同履行期间合同价格不因其他任何因素变化（如市场因素、国家政策因素等）而作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0" w:type="dxa"/>
            <w:tcMar>
              <w:top w:w="57" w:type="dxa"/>
              <w:bottom w:w="57" w:type="dxa"/>
            </w:tcMar>
            <w:vAlign w:val="center"/>
          </w:tcPr>
          <w:p>
            <w:pPr>
              <w:pStyle w:val="22"/>
              <w:adjustRightInd w:val="0"/>
              <w:snapToGrid w:val="0"/>
              <w:jc w:val="center"/>
              <w:rPr>
                <w:rFonts w:ascii="Times New Roman" w:hAnsi="Times New Roman"/>
                <w:color w:val="auto"/>
                <w:sz w:val="21"/>
                <w:szCs w:val="21"/>
                <w:highlight w:val="none"/>
              </w:rPr>
            </w:pPr>
            <w:bookmarkStart w:id="7" w:name="_Toc68963461"/>
            <w:bookmarkStart w:id="8" w:name="_Toc10213427"/>
            <w:r>
              <w:rPr>
                <w:rFonts w:ascii="Times New Roman" w:hAnsi="Times New Roman"/>
                <w:color w:val="auto"/>
                <w:sz w:val="21"/>
                <w:szCs w:val="21"/>
                <w:highlight w:val="none"/>
              </w:rPr>
              <w:t>15</w:t>
            </w:r>
          </w:p>
        </w:tc>
        <w:tc>
          <w:tcPr>
            <w:tcW w:w="985" w:type="dxa"/>
            <w:tcMar>
              <w:top w:w="57" w:type="dxa"/>
              <w:bottom w:w="57" w:type="dxa"/>
            </w:tcMar>
            <w:vAlign w:val="center"/>
          </w:tcPr>
          <w:p>
            <w:pPr>
              <w:pStyle w:val="22"/>
              <w:adjustRightInd w:val="0"/>
              <w:snapToGrid w:val="0"/>
              <w:spacing w:line="400" w:lineRule="exact"/>
              <w:jc w:val="center"/>
              <w:rPr>
                <w:rFonts w:ascii="Times New Roman" w:hAnsi="Times New Roman"/>
                <w:color w:val="auto"/>
                <w:sz w:val="21"/>
                <w:szCs w:val="21"/>
                <w:highlight w:val="none"/>
              </w:rPr>
            </w:pPr>
            <w:r>
              <w:rPr>
                <w:rFonts w:ascii="Times New Roman" w:hAnsi="Times New Roman"/>
                <w:color w:val="auto"/>
                <w:sz w:val="21"/>
                <w:szCs w:val="21"/>
                <w:highlight w:val="none"/>
              </w:rPr>
              <w:t>付款方式</w:t>
            </w:r>
          </w:p>
        </w:tc>
        <w:tc>
          <w:tcPr>
            <w:tcW w:w="8135" w:type="dxa"/>
            <w:tcMar>
              <w:top w:w="57" w:type="dxa"/>
              <w:bottom w:w="57" w:type="dxa"/>
            </w:tcMar>
            <w:vAlign w:val="center"/>
          </w:tcPr>
          <w:p>
            <w:pPr>
              <w:pStyle w:val="11"/>
              <w:keepNext w:val="0"/>
              <w:keepLines w:val="0"/>
              <w:pageBreakBefore w:val="0"/>
              <w:widowControl/>
              <w:kinsoku/>
              <w:wordWrap/>
              <w:overflowPunct/>
              <w:topLinePunct w:val="0"/>
              <w:autoSpaceDE/>
              <w:autoSpaceDN/>
              <w:bidi w:val="0"/>
              <w:spacing w:line="440" w:lineRule="exact"/>
              <w:textAlignment w:val="auto"/>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采购合同签订前，成交供应商按合同总价款的5%向采购人缴纳履约保证金（以支票、汇票、本票或者金融机构、担保机构出具的保函等非现金形式提交）；</w:t>
            </w:r>
          </w:p>
          <w:p>
            <w:pPr>
              <w:keepNext w:val="0"/>
              <w:keepLines w:val="0"/>
              <w:pageBreakBefore w:val="0"/>
              <w:widowControl/>
              <w:kinsoku/>
              <w:wordWrap/>
              <w:overflowPunct/>
              <w:topLinePunct w:val="0"/>
              <w:autoSpaceDE/>
              <w:autoSpaceDN/>
              <w:bidi w:val="0"/>
              <w:adjustRightInd w:val="0"/>
              <w:snapToGrid w:val="0"/>
              <w:spacing w:line="440" w:lineRule="exact"/>
              <w:ind w:firstLine="420" w:firstLineChars="200"/>
              <w:textAlignment w:val="auto"/>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本项目合同签定后20个工作日内，成交供应商向采购人提交申请，采购人以转账方式向成交供应商支付合同总额的30%作为预付款；设备生产完成供方单位提供调试</w:t>
            </w:r>
            <w:r>
              <w:rPr>
                <w:rFonts w:hint="eastAsia" w:cs="Times New Roman"/>
                <w:color w:val="auto"/>
                <w:kern w:val="2"/>
                <w:sz w:val="21"/>
                <w:szCs w:val="21"/>
                <w:highlight w:val="none"/>
                <w:lang w:val="en-US" w:eastAsia="zh-CN" w:bidi="ar-SA"/>
              </w:rPr>
              <w:t>视频</w:t>
            </w:r>
            <w:r>
              <w:rPr>
                <w:rFonts w:hint="eastAsia" w:ascii="Times New Roman" w:hAnsi="Times New Roman" w:eastAsia="宋体" w:cs="Times New Roman"/>
                <w:color w:val="auto"/>
                <w:kern w:val="2"/>
                <w:sz w:val="21"/>
                <w:szCs w:val="21"/>
                <w:highlight w:val="none"/>
                <w:lang w:val="en-US" w:eastAsia="zh-CN" w:bidi="ar-SA"/>
              </w:rPr>
              <w:t>（需方可以参与），供方调试合格后</w:t>
            </w:r>
            <w:r>
              <w:rPr>
                <w:rFonts w:hint="eastAsia" w:cs="Times New Roman"/>
                <w:color w:val="auto"/>
                <w:kern w:val="2"/>
                <w:sz w:val="21"/>
                <w:szCs w:val="21"/>
                <w:highlight w:val="none"/>
                <w:lang w:val="en-US" w:eastAsia="zh-CN" w:bidi="ar-SA"/>
              </w:rPr>
              <w:t>，在</w:t>
            </w:r>
            <w:r>
              <w:rPr>
                <w:rFonts w:hint="eastAsia" w:ascii="Times New Roman" w:hAnsi="Times New Roman" w:eastAsia="宋体" w:cs="Times New Roman"/>
                <w:color w:val="auto"/>
                <w:kern w:val="2"/>
                <w:sz w:val="21"/>
                <w:szCs w:val="21"/>
                <w:highlight w:val="none"/>
                <w:lang w:val="en-US" w:eastAsia="zh-CN" w:bidi="ar-SA"/>
              </w:rPr>
              <w:t>发货前</w:t>
            </w:r>
            <w:r>
              <w:rPr>
                <w:rFonts w:hint="eastAsia" w:cs="Times New Roman"/>
                <w:color w:val="auto"/>
                <w:kern w:val="2"/>
                <w:sz w:val="21"/>
                <w:szCs w:val="21"/>
                <w:highlight w:val="none"/>
                <w:lang w:val="en-US" w:eastAsia="zh-CN" w:bidi="ar-SA"/>
              </w:rPr>
              <w:t>支付</w:t>
            </w:r>
            <w:r>
              <w:rPr>
                <w:rFonts w:hint="eastAsia" w:ascii="Times New Roman" w:hAnsi="Times New Roman" w:eastAsia="宋体" w:cs="Times New Roman"/>
                <w:color w:val="auto"/>
                <w:kern w:val="2"/>
                <w:sz w:val="21"/>
                <w:szCs w:val="21"/>
                <w:highlight w:val="none"/>
                <w:lang w:val="en-US" w:eastAsia="zh-CN" w:bidi="ar-SA"/>
              </w:rPr>
              <w:t>50%货款，设备在需方单位完成</w:t>
            </w:r>
            <w:r>
              <w:rPr>
                <w:rFonts w:hint="eastAsia" w:cs="Times New Roman"/>
                <w:color w:val="auto"/>
                <w:kern w:val="2"/>
                <w:sz w:val="21"/>
                <w:szCs w:val="21"/>
                <w:highlight w:val="none"/>
                <w:lang w:val="en-US" w:eastAsia="zh-CN" w:bidi="ar-SA"/>
              </w:rPr>
              <w:t>安装</w:t>
            </w:r>
            <w:r>
              <w:rPr>
                <w:rFonts w:hint="eastAsia" w:ascii="Times New Roman" w:hAnsi="Times New Roman" w:eastAsia="宋体" w:cs="Times New Roman"/>
                <w:color w:val="auto"/>
                <w:kern w:val="2"/>
                <w:sz w:val="21"/>
                <w:szCs w:val="21"/>
                <w:highlight w:val="none"/>
                <w:lang w:val="en-US" w:eastAsia="zh-CN" w:bidi="ar-SA"/>
              </w:rPr>
              <w:t>调试</w:t>
            </w:r>
            <w:r>
              <w:rPr>
                <w:rFonts w:hint="eastAsia" w:cs="Times New Roman"/>
                <w:color w:val="auto"/>
                <w:kern w:val="2"/>
                <w:sz w:val="21"/>
                <w:szCs w:val="21"/>
                <w:highlight w:val="none"/>
                <w:lang w:val="en-US" w:eastAsia="zh-CN" w:bidi="ar-SA"/>
              </w:rPr>
              <w:t>，验收合格</w:t>
            </w:r>
            <w:r>
              <w:rPr>
                <w:rFonts w:hint="eastAsia" w:ascii="Times New Roman" w:hAnsi="Times New Roman" w:eastAsia="宋体" w:cs="Times New Roman"/>
                <w:color w:val="auto"/>
                <w:kern w:val="2"/>
                <w:sz w:val="21"/>
                <w:szCs w:val="21"/>
                <w:highlight w:val="none"/>
                <w:lang w:val="en-US" w:eastAsia="zh-CN" w:bidi="ar-SA"/>
              </w:rPr>
              <w:t>后支付15%货款，余款5%</w:t>
            </w:r>
            <w:r>
              <w:rPr>
                <w:rFonts w:hint="eastAsia" w:cs="Times New Roman"/>
                <w:color w:val="auto"/>
                <w:kern w:val="2"/>
                <w:sz w:val="21"/>
                <w:szCs w:val="21"/>
                <w:highlight w:val="none"/>
                <w:lang w:val="en-US" w:eastAsia="zh-CN" w:bidi="ar-SA"/>
              </w:rPr>
              <w:t>在</w:t>
            </w:r>
            <w:r>
              <w:rPr>
                <w:rFonts w:hint="eastAsia" w:ascii="Times New Roman" w:hAnsi="Times New Roman" w:eastAsia="宋体" w:cs="Times New Roman"/>
                <w:color w:val="auto"/>
                <w:kern w:val="2"/>
                <w:sz w:val="21"/>
                <w:szCs w:val="21"/>
                <w:highlight w:val="none"/>
                <w:lang w:val="en-US" w:eastAsia="zh-CN" w:bidi="ar-SA"/>
              </w:rPr>
              <w:t>质保期</w:t>
            </w:r>
            <w:r>
              <w:rPr>
                <w:rFonts w:hint="eastAsia" w:cs="Times New Roman"/>
                <w:color w:val="auto"/>
                <w:kern w:val="2"/>
                <w:sz w:val="21"/>
                <w:szCs w:val="21"/>
                <w:highlight w:val="none"/>
                <w:lang w:val="en-US" w:eastAsia="zh-CN" w:bidi="ar-SA"/>
              </w:rPr>
              <w:t>结束</w:t>
            </w:r>
            <w:r>
              <w:rPr>
                <w:rFonts w:hint="eastAsia" w:ascii="Times New Roman" w:hAnsi="Times New Roman" w:eastAsia="宋体" w:cs="Times New Roman"/>
                <w:color w:val="auto"/>
                <w:kern w:val="2"/>
                <w:sz w:val="21"/>
                <w:szCs w:val="21"/>
                <w:highlight w:val="none"/>
                <w:lang w:val="en-US" w:eastAsia="zh-CN" w:bidi="ar-SA"/>
              </w:rPr>
              <w:t>后10个工作日内付清</w:t>
            </w:r>
            <w:r>
              <w:rPr>
                <w:rFonts w:ascii="Times New Roman" w:hAnsi="Times New Roman" w:eastAsia="宋体" w:cs="Times New Roman"/>
                <w:color w:val="auto"/>
                <w:kern w:val="2"/>
                <w:sz w:val="21"/>
                <w:szCs w:val="21"/>
                <w:highlight w:val="none"/>
                <w:lang w:val="en-US" w:eastAsia="zh-CN" w:bidi="ar-SA"/>
              </w:rPr>
              <w:t>。</w:t>
            </w:r>
          </w:p>
          <w:p>
            <w:pPr>
              <w:keepNext w:val="0"/>
              <w:keepLines w:val="0"/>
              <w:pageBreakBefore w:val="0"/>
              <w:widowControl/>
              <w:kinsoku/>
              <w:wordWrap/>
              <w:overflowPunct/>
              <w:topLinePunct w:val="0"/>
              <w:autoSpaceDE/>
              <w:autoSpaceDN/>
              <w:bidi w:val="0"/>
              <w:adjustRightInd w:val="0"/>
              <w:snapToGrid w:val="0"/>
              <w:spacing w:line="440" w:lineRule="exact"/>
              <w:ind w:firstLine="420" w:firstLineChars="200"/>
              <w:textAlignment w:val="auto"/>
              <w:rPr>
                <w:color w:val="auto"/>
                <w:szCs w:val="21"/>
                <w:highlight w:val="none"/>
              </w:rPr>
            </w:pPr>
            <w:r>
              <w:rPr>
                <w:color w:val="auto"/>
                <w:szCs w:val="21"/>
                <w:highlight w:val="none"/>
              </w:rPr>
              <w:t>注：采购合同使用货币币制如未作特别说明均为人民币。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0" w:type="dxa"/>
            <w:tcMar>
              <w:top w:w="57" w:type="dxa"/>
              <w:bottom w:w="57" w:type="dxa"/>
            </w:tcMar>
            <w:vAlign w:val="center"/>
          </w:tcPr>
          <w:p>
            <w:pPr>
              <w:pStyle w:val="22"/>
              <w:adjustRightInd w:val="0"/>
              <w:snapToGrid w:val="0"/>
              <w:jc w:val="center"/>
              <w:rPr>
                <w:rFonts w:ascii="Times New Roman" w:hAnsi="Times New Roman"/>
                <w:color w:val="auto"/>
                <w:sz w:val="21"/>
                <w:szCs w:val="21"/>
                <w:highlight w:val="none"/>
              </w:rPr>
            </w:pPr>
            <w:r>
              <w:rPr>
                <w:rFonts w:ascii="Times New Roman" w:hAnsi="Times New Roman"/>
                <w:color w:val="auto"/>
                <w:sz w:val="21"/>
                <w:szCs w:val="21"/>
                <w:highlight w:val="none"/>
              </w:rPr>
              <w:t>16</w:t>
            </w:r>
          </w:p>
        </w:tc>
        <w:tc>
          <w:tcPr>
            <w:tcW w:w="985" w:type="dxa"/>
            <w:tcMar>
              <w:top w:w="57" w:type="dxa"/>
              <w:bottom w:w="57" w:type="dxa"/>
            </w:tcMar>
            <w:vAlign w:val="center"/>
          </w:tcPr>
          <w:p>
            <w:pPr>
              <w:pStyle w:val="22"/>
              <w:adjustRightInd w:val="0"/>
              <w:snapToGrid w:val="0"/>
              <w:jc w:val="center"/>
              <w:rPr>
                <w:rFonts w:ascii="Times New Roman" w:hAnsi="Times New Roman"/>
                <w:color w:val="auto"/>
                <w:sz w:val="21"/>
                <w:szCs w:val="21"/>
                <w:highlight w:val="none"/>
              </w:rPr>
            </w:pPr>
            <w:r>
              <w:rPr>
                <w:rFonts w:ascii="Times New Roman" w:hAnsi="Times New Roman"/>
                <w:color w:val="auto"/>
                <w:sz w:val="21"/>
                <w:szCs w:val="21"/>
                <w:highlight w:val="none"/>
              </w:rPr>
              <w:t>知识产权</w:t>
            </w:r>
          </w:p>
        </w:tc>
        <w:tc>
          <w:tcPr>
            <w:tcW w:w="8135" w:type="dxa"/>
            <w:tcMar>
              <w:top w:w="57" w:type="dxa"/>
              <w:bottom w:w="57" w:type="dxa"/>
            </w:tcMar>
            <w:vAlign w:val="center"/>
          </w:tcPr>
          <w:p>
            <w:pPr>
              <w:pStyle w:val="22"/>
              <w:adjustRightInd w:val="0"/>
              <w:snapToGrid w:val="0"/>
              <w:spacing w:line="440" w:lineRule="exact"/>
              <w:ind w:firstLine="420" w:firstLineChars="200"/>
              <w:rPr>
                <w:rFonts w:ascii="Times New Roman" w:hAnsi="Times New Roman"/>
                <w:color w:val="auto"/>
                <w:sz w:val="21"/>
                <w:szCs w:val="21"/>
                <w:highlight w:val="none"/>
              </w:rPr>
            </w:pPr>
            <w:r>
              <w:rPr>
                <w:rFonts w:ascii="Times New Roman" w:hAnsi="Times New Roman"/>
                <w:color w:val="auto"/>
                <w:sz w:val="21"/>
                <w:szCs w:val="21"/>
                <w:highlight w:val="none"/>
              </w:rPr>
              <w:t>采购人在中华人民共和国境内使用供应商提供的货物及服务时免受第三方提出的侵犯其专利权或其它知识产权的起诉。如果第三方提出侵权指控，供应商应承担由此而引起的一切法律责任和费用。</w:t>
            </w:r>
          </w:p>
          <w:p>
            <w:pPr>
              <w:pStyle w:val="22"/>
              <w:adjustRightInd w:val="0"/>
              <w:snapToGrid w:val="0"/>
              <w:spacing w:line="440" w:lineRule="exact"/>
              <w:ind w:firstLine="420" w:firstLineChars="200"/>
              <w:rPr>
                <w:rFonts w:ascii="Times New Roman" w:hAnsi="Times New Roman"/>
                <w:color w:val="auto"/>
                <w:sz w:val="21"/>
                <w:szCs w:val="21"/>
                <w:highlight w:val="none"/>
              </w:rPr>
            </w:pPr>
            <w:r>
              <w:rPr>
                <w:rFonts w:ascii="Times New Roman" w:hAnsi="Times New Roman"/>
                <w:color w:val="auto"/>
                <w:sz w:val="21"/>
                <w:szCs w:val="21"/>
                <w:highlight w:val="none"/>
              </w:rPr>
              <w:t>涉及软件开发等服务类项目知识产权的，知识产权归采购人所有。</w:t>
            </w:r>
          </w:p>
          <w:p>
            <w:pPr>
              <w:pStyle w:val="22"/>
              <w:adjustRightInd w:val="0"/>
              <w:snapToGrid w:val="0"/>
              <w:spacing w:line="440" w:lineRule="exact"/>
              <w:ind w:firstLine="420" w:firstLineChars="200"/>
              <w:rPr>
                <w:rFonts w:ascii="Times New Roman" w:hAnsi="Times New Roman"/>
                <w:color w:val="auto"/>
                <w:sz w:val="21"/>
                <w:szCs w:val="21"/>
                <w:highlight w:val="none"/>
              </w:rPr>
            </w:pPr>
            <w:r>
              <w:rPr>
                <w:rFonts w:ascii="Times New Roman" w:hAnsi="Times New Roman"/>
                <w:color w:val="auto"/>
                <w:sz w:val="21"/>
                <w:szCs w:val="21"/>
                <w:highlight w:val="none"/>
              </w:rPr>
              <w:t>供应商不得泄露采购人所提供的属于国家秘密的信息和数据；未经采购人书面许可，不得使用或者以其他方式给任何第三方提供本项目的相关信息和数据。</w:t>
            </w:r>
          </w:p>
        </w:tc>
      </w:tr>
    </w:tbl>
    <w:p>
      <w:pPr>
        <w:pStyle w:val="3"/>
        <w:spacing w:line="480" w:lineRule="auto"/>
        <w:rPr>
          <w:rFonts w:ascii="Times New Roman" w:hAnsi="Times New Roman" w:eastAsia="宋体"/>
          <w:color w:val="auto"/>
          <w:sz w:val="28"/>
          <w:szCs w:val="28"/>
          <w:highlight w:val="none"/>
        </w:rPr>
      </w:pPr>
    </w:p>
    <w:p>
      <w:pPr>
        <w:rPr>
          <w:color w:val="auto"/>
          <w:sz w:val="28"/>
          <w:szCs w:val="28"/>
          <w:highlight w:val="none"/>
        </w:rPr>
      </w:pPr>
      <w:r>
        <w:rPr>
          <w:color w:val="auto"/>
          <w:sz w:val="28"/>
          <w:szCs w:val="28"/>
          <w:highlight w:val="none"/>
        </w:rPr>
        <w:br w:type="page"/>
      </w:r>
    </w:p>
    <w:p>
      <w:pPr>
        <w:pStyle w:val="3"/>
        <w:spacing w:line="480" w:lineRule="auto"/>
        <w:rPr>
          <w:rFonts w:ascii="Times New Roman" w:hAnsi="Times New Roman" w:eastAsia="宋体"/>
          <w:color w:val="auto"/>
          <w:sz w:val="28"/>
          <w:szCs w:val="28"/>
          <w:highlight w:val="none"/>
        </w:rPr>
      </w:pPr>
      <w:r>
        <w:rPr>
          <w:rFonts w:ascii="Times New Roman" w:hAnsi="Times New Roman" w:eastAsia="宋体"/>
          <w:color w:val="auto"/>
          <w:sz w:val="28"/>
          <w:szCs w:val="28"/>
          <w:highlight w:val="none"/>
        </w:rPr>
        <w:t>一、总  则</w:t>
      </w:r>
      <w:bookmarkEnd w:id="7"/>
      <w:bookmarkEnd w:id="8"/>
    </w:p>
    <w:p>
      <w:pPr>
        <w:numPr>
          <w:ilvl w:val="0"/>
          <w:numId w:val="2"/>
        </w:numPr>
        <w:adjustRightInd w:val="0"/>
        <w:snapToGrid w:val="0"/>
        <w:spacing w:line="440" w:lineRule="exact"/>
        <w:rPr>
          <w:b/>
          <w:bCs/>
          <w:color w:val="auto"/>
          <w:szCs w:val="21"/>
          <w:highlight w:val="none"/>
        </w:rPr>
      </w:pPr>
      <w:r>
        <w:rPr>
          <w:b/>
          <w:bCs/>
          <w:color w:val="auto"/>
          <w:szCs w:val="21"/>
          <w:highlight w:val="none"/>
        </w:rPr>
        <w:t>概述</w:t>
      </w:r>
    </w:p>
    <w:p>
      <w:pPr>
        <w:numPr>
          <w:ilvl w:val="1"/>
          <w:numId w:val="3"/>
        </w:numPr>
        <w:adjustRightInd w:val="0"/>
        <w:snapToGrid w:val="0"/>
        <w:spacing w:line="440" w:lineRule="exact"/>
        <w:rPr>
          <w:color w:val="auto"/>
          <w:szCs w:val="21"/>
          <w:highlight w:val="none"/>
        </w:rPr>
      </w:pPr>
      <w:r>
        <w:rPr>
          <w:color w:val="auto"/>
          <w:szCs w:val="21"/>
          <w:highlight w:val="none"/>
        </w:rPr>
        <w:t>适用范围：本评比文件仅适用于第一章“评比邀请书”中所述项目。</w:t>
      </w:r>
    </w:p>
    <w:p>
      <w:pPr>
        <w:numPr>
          <w:ilvl w:val="1"/>
          <w:numId w:val="3"/>
        </w:numPr>
        <w:adjustRightInd w:val="0"/>
        <w:snapToGrid w:val="0"/>
        <w:spacing w:line="440" w:lineRule="exact"/>
        <w:rPr>
          <w:color w:val="auto"/>
          <w:szCs w:val="21"/>
          <w:highlight w:val="none"/>
        </w:rPr>
      </w:pPr>
      <w:r>
        <w:rPr>
          <w:color w:val="auto"/>
          <w:szCs w:val="21"/>
          <w:highlight w:val="none"/>
        </w:rPr>
        <w:t>定义：</w:t>
      </w:r>
    </w:p>
    <w:p>
      <w:pPr>
        <w:adjustRightInd w:val="0"/>
        <w:snapToGrid w:val="0"/>
        <w:spacing w:line="440" w:lineRule="exact"/>
        <w:rPr>
          <w:color w:val="auto"/>
          <w:szCs w:val="21"/>
          <w:highlight w:val="none"/>
        </w:rPr>
      </w:pPr>
      <w:r>
        <w:rPr>
          <w:color w:val="auto"/>
          <w:szCs w:val="21"/>
          <w:highlight w:val="none"/>
        </w:rPr>
        <w:t>1.2.1本项目：系指</w:t>
      </w:r>
      <w:r>
        <w:rPr>
          <w:rFonts w:hint="eastAsia"/>
          <w:color w:val="auto"/>
          <w:szCs w:val="21"/>
          <w:highlight w:val="none"/>
          <w:lang w:eastAsia="zh-CN"/>
        </w:rPr>
        <w:t>哈尔滨工业大学重庆研究院智能化层析分离中试系统采购项目（</w:t>
      </w:r>
      <w:r>
        <w:rPr>
          <w:rFonts w:hint="eastAsia"/>
          <w:color w:val="auto"/>
          <w:szCs w:val="21"/>
          <w:highlight w:val="none"/>
          <w:lang w:val="en-US" w:eastAsia="zh-CN"/>
        </w:rPr>
        <w:t>第二次</w:t>
      </w:r>
      <w:r>
        <w:rPr>
          <w:rFonts w:hint="eastAsia"/>
          <w:color w:val="auto"/>
          <w:szCs w:val="21"/>
          <w:highlight w:val="none"/>
          <w:lang w:eastAsia="zh-CN"/>
        </w:rPr>
        <w:t>）</w:t>
      </w:r>
      <w:r>
        <w:rPr>
          <w:color w:val="auto"/>
          <w:szCs w:val="21"/>
          <w:highlight w:val="none"/>
        </w:rPr>
        <w:t>。</w:t>
      </w:r>
    </w:p>
    <w:p>
      <w:pPr>
        <w:adjustRightInd w:val="0"/>
        <w:snapToGrid w:val="0"/>
        <w:spacing w:line="440" w:lineRule="exact"/>
        <w:rPr>
          <w:color w:val="auto"/>
          <w:szCs w:val="21"/>
          <w:highlight w:val="none"/>
        </w:rPr>
      </w:pPr>
      <w:r>
        <w:rPr>
          <w:color w:val="auto"/>
          <w:szCs w:val="21"/>
          <w:highlight w:val="none"/>
        </w:rPr>
        <w:t>1.2.2采购人：系指</w:t>
      </w:r>
      <w:r>
        <w:rPr>
          <w:rFonts w:hint="eastAsia"/>
          <w:color w:val="auto"/>
          <w:szCs w:val="21"/>
          <w:highlight w:val="none"/>
          <w:lang w:eastAsia="zh-CN"/>
        </w:rPr>
        <w:t>哈尔滨工业大学重庆研究院</w:t>
      </w:r>
      <w:r>
        <w:rPr>
          <w:color w:val="auto"/>
          <w:szCs w:val="21"/>
          <w:highlight w:val="none"/>
        </w:rPr>
        <w:t>。</w:t>
      </w:r>
    </w:p>
    <w:p>
      <w:pPr>
        <w:adjustRightInd w:val="0"/>
        <w:snapToGrid w:val="0"/>
        <w:spacing w:line="440" w:lineRule="exact"/>
        <w:rPr>
          <w:color w:val="auto"/>
          <w:szCs w:val="21"/>
          <w:highlight w:val="none"/>
        </w:rPr>
      </w:pPr>
      <w:r>
        <w:rPr>
          <w:color w:val="auto"/>
          <w:szCs w:val="21"/>
          <w:highlight w:val="none"/>
        </w:rPr>
        <w:t>1.3  交货地点：采购人指定地点（重庆）</w:t>
      </w:r>
    </w:p>
    <w:p>
      <w:pPr>
        <w:adjustRightInd w:val="0"/>
        <w:snapToGrid w:val="0"/>
        <w:spacing w:line="440" w:lineRule="exact"/>
        <w:rPr>
          <w:color w:val="auto"/>
          <w:szCs w:val="21"/>
          <w:highlight w:val="none"/>
        </w:rPr>
      </w:pPr>
      <w:r>
        <w:rPr>
          <w:color w:val="auto"/>
          <w:szCs w:val="21"/>
          <w:highlight w:val="none"/>
        </w:rPr>
        <w:t>1.4  交货时间：满足本须知前附表中第</w:t>
      </w:r>
      <w:r>
        <w:rPr>
          <w:b/>
          <w:color w:val="auto"/>
          <w:szCs w:val="21"/>
          <w:highlight w:val="none"/>
          <w:u w:val="single"/>
        </w:rPr>
        <w:t>3</w:t>
      </w:r>
      <w:r>
        <w:rPr>
          <w:color w:val="auto"/>
          <w:szCs w:val="21"/>
          <w:highlight w:val="none"/>
        </w:rPr>
        <w:t>项</w:t>
      </w:r>
    </w:p>
    <w:p>
      <w:pPr>
        <w:numPr>
          <w:ilvl w:val="0"/>
          <w:numId w:val="2"/>
        </w:numPr>
        <w:adjustRightInd w:val="0"/>
        <w:snapToGrid w:val="0"/>
        <w:spacing w:line="440" w:lineRule="exact"/>
        <w:rPr>
          <w:b/>
          <w:bCs/>
          <w:color w:val="auto"/>
          <w:szCs w:val="21"/>
          <w:highlight w:val="none"/>
        </w:rPr>
      </w:pPr>
      <w:r>
        <w:rPr>
          <w:b/>
          <w:bCs/>
          <w:color w:val="auto"/>
          <w:szCs w:val="21"/>
          <w:highlight w:val="none"/>
        </w:rPr>
        <w:t>评比范围</w:t>
      </w:r>
    </w:p>
    <w:p>
      <w:pPr>
        <w:adjustRightInd w:val="0"/>
        <w:snapToGrid w:val="0"/>
        <w:spacing w:line="440" w:lineRule="exact"/>
        <w:rPr>
          <w:b/>
          <w:bCs/>
          <w:color w:val="auto"/>
          <w:szCs w:val="21"/>
          <w:highlight w:val="none"/>
        </w:rPr>
      </w:pPr>
      <w:r>
        <w:rPr>
          <w:bCs/>
          <w:color w:val="auto"/>
          <w:szCs w:val="21"/>
          <w:highlight w:val="none"/>
        </w:rPr>
        <w:t>2.1</w:t>
      </w:r>
      <w:r>
        <w:rPr>
          <w:color w:val="auto"/>
          <w:szCs w:val="21"/>
          <w:highlight w:val="none"/>
        </w:rPr>
        <w:t>详见第四章</w:t>
      </w:r>
      <w:r>
        <w:rPr>
          <w:bCs/>
          <w:color w:val="auto"/>
          <w:kern w:val="44"/>
          <w:szCs w:val="21"/>
          <w:highlight w:val="none"/>
        </w:rPr>
        <w:t>技术服务需求及说明。</w:t>
      </w:r>
    </w:p>
    <w:p>
      <w:pPr>
        <w:numPr>
          <w:ilvl w:val="0"/>
          <w:numId w:val="2"/>
        </w:numPr>
        <w:adjustRightInd w:val="0"/>
        <w:snapToGrid w:val="0"/>
        <w:spacing w:line="440" w:lineRule="exact"/>
        <w:rPr>
          <w:b/>
          <w:bCs/>
          <w:color w:val="auto"/>
          <w:szCs w:val="21"/>
          <w:highlight w:val="none"/>
        </w:rPr>
      </w:pPr>
      <w:bookmarkStart w:id="9" w:name="_Toc23613344"/>
      <w:r>
        <w:rPr>
          <w:b/>
          <w:bCs/>
          <w:color w:val="auto"/>
          <w:szCs w:val="21"/>
          <w:highlight w:val="none"/>
        </w:rPr>
        <w:t>评比供应商的资格</w:t>
      </w:r>
      <w:bookmarkEnd w:id="9"/>
    </w:p>
    <w:p>
      <w:pPr>
        <w:adjustRightInd w:val="0"/>
        <w:snapToGrid w:val="0"/>
        <w:spacing w:line="440" w:lineRule="exact"/>
        <w:ind w:left="372" w:hanging="371" w:hangingChars="177"/>
        <w:rPr>
          <w:color w:val="auto"/>
          <w:szCs w:val="21"/>
          <w:highlight w:val="none"/>
        </w:rPr>
      </w:pPr>
      <w:r>
        <w:rPr>
          <w:color w:val="auto"/>
          <w:szCs w:val="21"/>
          <w:highlight w:val="none"/>
        </w:rPr>
        <w:t>3.1参加本次服务项目评比的评比供应商必须满足本须知前附表中第</w:t>
      </w:r>
      <w:r>
        <w:rPr>
          <w:b/>
          <w:color w:val="auto"/>
          <w:szCs w:val="21"/>
          <w:highlight w:val="none"/>
          <w:u w:val="single"/>
        </w:rPr>
        <w:t>4</w:t>
      </w:r>
      <w:r>
        <w:rPr>
          <w:color w:val="auto"/>
          <w:szCs w:val="21"/>
          <w:highlight w:val="none"/>
        </w:rPr>
        <w:t>项的资格要求。</w:t>
      </w:r>
    </w:p>
    <w:p>
      <w:pPr>
        <w:adjustRightInd w:val="0"/>
        <w:snapToGrid w:val="0"/>
        <w:spacing w:line="440" w:lineRule="exact"/>
        <w:ind w:left="315" w:hanging="315" w:hangingChars="150"/>
        <w:rPr>
          <w:color w:val="auto"/>
          <w:szCs w:val="21"/>
          <w:highlight w:val="none"/>
        </w:rPr>
      </w:pPr>
      <w:r>
        <w:rPr>
          <w:color w:val="auto"/>
          <w:szCs w:val="21"/>
          <w:highlight w:val="none"/>
        </w:rPr>
        <w:t>3.2评比供应商必须向代理机构购买评比文件并登记备案，未向代理机构购买评比文件并登记备案的潜在评比供应商均无资格参加本次评比。</w:t>
      </w:r>
    </w:p>
    <w:p>
      <w:pPr>
        <w:adjustRightInd w:val="0"/>
        <w:snapToGrid w:val="0"/>
        <w:spacing w:line="440" w:lineRule="exact"/>
        <w:rPr>
          <w:color w:val="auto"/>
          <w:szCs w:val="21"/>
          <w:highlight w:val="none"/>
        </w:rPr>
      </w:pPr>
      <w:r>
        <w:rPr>
          <w:color w:val="auto"/>
          <w:szCs w:val="21"/>
          <w:highlight w:val="none"/>
        </w:rPr>
        <w:t>3.3评比供应商应遵守国家法律法规及采购人相关规定。</w:t>
      </w:r>
    </w:p>
    <w:p>
      <w:pPr>
        <w:adjustRightInd w:val="0"/>
        <w:snapToGrid w:val="0"/>
        <w:spacing w:line="440" w:lineRule="exact"/>
        <w:rPr>
          <w:color w:val="auto"/>
          <w:szCs w:val="21"/>
          <w:highlight w:val="none"/>
        </w:rPr>
      </w:pPr>
      <w:r>
        <w:rPr>
          <w:color w:val="auto"/>
          <w:szCs w:val="21"/>
          <w:highlight w:val="none"/>
        </w:rPr>
        <w:t>3.4本项目评比不接受联合体形式的评比。</w:t>
      </w:r>
    </w:p>
    <w:p>
      <w:pPr>
        <w:adjustRightInd w:val="0"/>
        <w:snapToGrid w:val="0"/>
        <w:spacing w:line="440" w:lineRule="exact"/>
        <w:rPr>
          <w:color w:val="auto"/>
          <w:szCs w:val="21"/>
          <w:highlight w:val="none"/>
        </w:rPr>
      </w:pPr>
      <w:r>
        <w:rPr>
          <w:color w:val="auto"/>
          <w:szCs w:val="21"/>
          <w:highlight w:val="none"/>
        </w:rPr>
        <w:t>3.5本项目评比不接受合同分包。</w:t>
      </w:r>
    </w:p>
    <w:p>
      <w:pPr>
        <w:numPr>
          <w:ilvl w:val="0"/>
          <w:numId w:val="2"/>
        </w:numPr>
        <w:adjustRightInd w:val="0"/>
        <w:snapToGrid w:val="0"/>
        <w:spacing w:line="440" w:lineRule="exact"/>
        <w:rPr>
          <w:b/>
          <w:bCs/>
          <w:color w:val="auto"/>
          <w:szCs w:val="21"/>
          <w:highlight w:val="none"/>
        </w:rPr>
      </w:pPr>
      <w:bookmarkStart w:id="10" w:name="_Toc23613345"/>
      <w:r>
        <w:rPr>
          <w:b/>
          <w:bCs/>
          <w:color w:val="auto"/>
          <w:szCs w:val="21"/>
          <w:highlight w:val="none"/>
        </w:rPr>
        <w:t>评比费用</w:t>
      </w:r>
      <w:bookmarkEnd w:id="10"/>
    </w:p>
    <w:p>
      <w:pPr>
        <w:adjustRightInd w:val="0"/>
        <w:snapToGrid w:val="0"/>
        <w:spacing w:line="440" w:lineRule="exact"/>
        <w:rPr>
          <w:color w:val="auto"/>
          <w:szCs w:val="21"/>
          <w:highlight w:val="none"/>
        </w:rPr>
      </w:pPr>
      <w:r>
        <w:rPr>
          <w:color w:val="auto"/>
          <w:szCs w:val="21"/>
          <w:highlight w:val="none"/>
        </w:rPr>
        <w:t>4.1 评比供应商在评比过程中发生的一切费用，无论成交与否，均由评比供应商自负。</w:t>
      </w:r>
    </w:p>
    <w:p>
      <w:pPr>
        <w:numPr>
          <w:ilvl w:val="0"/>
          <w:numId w:val="2"/>
        </w:numPr>
        <w:adjustRightInd w:val="0"/>
        <w:snapToGrid w:val="0"/>
        <w:spacing w:line="440" w:lineRule="exact"/>
        <w:rPr>
          <w:b/>
          <w:bCs/>
          <w:color w:val="auto"/>
          <w:szCs w:val="21"/>
          <w:highlight w:val="none"/>
        </w:rPr>
      </w:pPr>
      <w:r>
        <w:rPr>
          <w:b/>
          <w:bCs/>
          <w:color w:val="auto"/>
          <w:szCs w:val="21"/>
          <w:highlight w:val="none"/>
        </w:rPr>
        <w:t>现场考察</w:t>
      </w:r>
    </w:p>
    <w:p>
      <w:pPr>
        <w:adjustRightInd w:val="0"/>
        <w:snapToGrid w:val="0"/>
        <w:spacing w:line="440" w:lineRule="exact"/>
        <w:ind w:left="372" w:hanging="371" w:hangingChars="177"/>
        <w:rPr>
          <w:color w:val="auto"/>
          <w:szCs w:val="21"/>
          <w:highlight w:val="none"/>
        </w:rPr>
      </w:pPr>
      <w:r>
        <w:rPr>
          <w:color w:val="auto"/>
          <w:szCs w:val="21"/>
          <w:highlight w:val="none"/>
        </w:rPr>
        <w:t>5.1评比供应商应按照本须知前附表中第</w:t>
      </w:r>
      <w:r>
        <w:rPr>
          <w:b/>
          <w:color w:val="auto"/>
          <w:szCs w:val="21"/>
          <w:highlight w:val="none"/>
          <w:u w:val="single"/>
        </w:rPr>
        <w:t>5</w:t>
      </w:r>
      <w:r>
        <w:rPr>
          <w:color w:val="auto"/>
          <w:szCs w:val="21"/>
          <w:highlight w:val="none"/>
        </w:rPr>
        <w:t>项规定的时间和地点，参加由评比方统一组织的现场考察，了解项目情况，自行负责、获得有关编制评比响应文件和签订服务合同所必需的一切资料。</w:t>
      </w:r>
    </w:p>
    <w:p>
      <w:pPr>
        <w:adjustRightInd w:val="0"/>
        <w:snapToGrid w:val="0"/>
        <w:spacing w:line="440" w:lineRule="exact"/>
        <w:ind w:left="372" w:hanging="371" w:hangingChars="177"/>
        <w:rPr>
          <w:color w:val="auto"/>
          <w:szCs w:val="21"/>
          <w:highlight w:val="none"/>
        </w:rPr>
      </w:pPr>
      <w:r>
        <w:rPr>
          <w:color w:val="auto"/>
          <w:szCs w:val="21"/>
          <w:highlight w:val="none"/>
        </w:rPr>
        <w:t>5.2评比供应商考察现场以后，将被认为已经对项目的总体情况、服务工作难度、条件及当地的有关情况获得了解，并认为评比供应商已充分了解了自己成交后有可能承担的风险、责任和义务，评比供应商未按时派人参加现场考察的，视为自动放弃该权利，在评比、合同签订及履行时不得以不熟悉项目情况为由提出相关要求。</w:t>
      </w:r>
    </w:p>
    <w:p>
      <w:pPr>
        <w:adjustRightInd w:val="0"/>
        <w:snapToGrid w:val="0"/>
        <w:spacing w:line="440" w:lineRule="exact"/>
        <w:ind w:left="372" w:hanging="371" w:hangingChars="177"/>
        <w:rPr>
          <w:color w:val="auto"/>
          <w:szCs w:val="21"/>
          <w:highlight w:val="none"/>
        </w:rPr>
      </w:pPr>
      <w:r>
        <w:rPr>
          <w:color w:val="auto"/>
          <w:szCs w:val="21"/>
          <w:highlight w:val="none"/>
        </w:rPr>
        <w:t>5.3考察现场过程中，评比供应商及其代表可能会对其自身或对第三方造成的人身伤害、财产损失或损坏，以及其他任何原因造成的损失、损坏或费用，必须由评比供应商及其代表自行承担。</w:t>
      </w:r>
    </w:p>
    <w:p>
      <w:pPr>
        <w:adjustRightInd w:val="0"/>
        <w:snapToGrid w:val="0"/>
        <w:spacing w:line="440" w:lineRule="exact"/>
        <w:ind w:left="372" w:hanging="371" w:hangingChars="177"/>
        <w:rPr>
          <w:color w:val="auto"/>
          <w:szCs w:val="21"/>
          <w:highlight w:val="none"/>
        </w:rPr>
      </w:pPr>
      <w:r>
        <w:rPr>
          <w:color w:val="auto"/>
          <w:szCs w:val="21"/>
          <w:highlight w:val="none"/>
        </w:rPr>
        <w:t>5.4 在现场考察过程中，评比供应商只许委派1-2名代表参加，并严格遵守评比方提出的纪律要求。</w:t>
      </w:r>
    </w:p>
    <w:p>
      <w:pPr>
        <w:adjustRightInd w:val="0"/>
        <w:snapToGrid w:val="0"/>
        <w:spacing w:line="440" w:lineRule="exact"/>
        <w:ind w:left="372" w:hanging="371" w:hangingChars="177"/>
        <w:rPr>
          <w:color w:val="auto"/>
          <w:szCs w:val="21"/>
          <w:highlight w:val="none"/>
        </w:rPr>
      </w:pPr>
    </w:p>
    <w:p>
      <w:pPr>
        <w:pStyle w:val="3"/>
        <w:spacing w:line="440" w:lineRule="exact"/>
        <w:rPr>
          <w:rFonts w:ascii="Times New Roman" w:hAnsi="Times New Roman" w:eastAsia="宋体"/>
          <w:color w:val="auto"/>
          <w:sz w:val="28"/>
          <w:szCs w:val="28"/>
          <w:highlight w:val="none"/>
        </w:rPr>
      </w:pPr>
      <w:bookmarkStart w:id="11" w:name="_Toc10213428"/>
      <w:bookmarkStart w:id="12" w:name="_Toc68963462"/>
      <w:bookmarkStart w:id="13" w:name="_Toc24455231"/>
      <w:bookmarkStart w:id="14" w:name="_Toc33340836"/>
      <w:bookmarkStart w:id="15" w:name="_Toc23613348"/>
      <w:bookmarkStart w:id="16" w:name="_Toc24083811"/>
      <w:r>
        <w:rPr>
          <w:rFonts w:ascii="Times New Roman" w:hAnsi="Times New Roman" w:eastAsia="宋体"/>
          <w:color w:val="auto"/>
          <w:sz w:val="28"/>
          <w:szCs w:val="28"/>
          <w:highlight w:val="none"/>
        </w:rPr>
        <w:t>二、评比文件</w:t>
      </w:r>
      <w:bookmarkEnd w:id="11"/>
      <w:bookmarkEnd w:id="12"/>
      <w:bookmarkEnd w:id="13"/>
      <w:bookmarkEnd w:id="14"/>
      <w:bookmarkEnd w:id="15"/>
      <w:bookmarkEnd w:id="16"/>
    </w:p>
    <w:p>
      <w:pPr>
        <w:numPr>
          <w:ilvl w:val="0"/>
          <w:numId w:val="2"/>
        </w:numPr>
        <w:adjustRightInd w:val="0"/>
        <w:snapToGrid w:val="0"/>
        <w:spacing w:line="440" w:lineRule="exact"/>
        <w:rPr>
          <w:b/>
          <w:bCs/>
          <w:color w:val="auto"/>
          <w:szCs w:val="21"/>
          <w:highlight w:val="none"/>
        </w:rPr>
      </w:pPr>
      <w:bookmarkStart w:id="17" w:name="_Toc23613349"/>
      <w:r>
        <w:rPr>
          <w:b/>
          <w:bCs/>
          <w:color w:val="auto"/>
          <w:szCs w:val="21"/>
          <w:highlight w:val="none"/>
        </w:rPr>
        <w:t>评比文件的内容</w:t>
      </w:r>
      <w:bookmarkEnd w:id="17"/>
    </w:p>
    <w:p>
      <w:pPr>
        <w:adjustRightInd w:val="0"/>
        <w:snapToGrid w:val="0"/>
        <w:spacing w:line="440" w:lineRule="exact"/>
        <w:rPr>
          <w:color w:val="auto"/>
          <w:szCs w:val="21"/>
          <w:highlight w:val="none"/>
        </w:rPr>
      </w:pPr>
      <w:r>
        <w:rPr>
          <w:color w:val="auto"/>
          <w:szCs w:val="21"/>
          <w:highlight w:val="none"/>
        </w:rPr>
        <w:t>6.1评比文件除本款下述内容外，还包括所有按照本须知第</w:t>
      </w:r>
      <w:r>
        <w:rPr>
          <w:b/>
          <w:color w:val="auto"/>
          <w:szCs w:val="21"/>
          <w:highlight w:val="none"/>
          <w:u w:val="single"/>
        </w:rPr>
        <w:t>7.1</w:t>
      </w:r>
      <w:r>
        <w:rPr>
          <w:color w:val="auto"/>
          <w:szCs w:val="21"/>
          <w:highlight w:val="none"/>
        </w:rPr>
        <w:t>款和第</w:t>
      </w:r>
      <w:r>
        <w:rPr>
          <w:color w:val="auto"/>
          <w:szCs w:val="21"/>
          <w:highlight w:val="none"/>
          <w:u w:val="single"/>
        </w:rPr>
        <w:t>8</w:t>
      </w:r>
      <w:r>
        <w:rPr>
          <w:color w:val="auto"/>
          <w:szCs w:val="21"/>
          <w:highlight w:val="none"/>
        </w:rPr>
        <w:t>条发出的澄清/修改补充文件。</w:t>
      </w:r>
    </w:p>
    <w:p>
      <w:pPr>
        <w:numPr>
          <w:ilvl w:val="0"/>
          <w:numId w:val="4"/>
        </w:numPr>
        <w:adjustRightInd w:val="0"/>
        <w:snapToGrid w:val="0"/>
        <w:spacing w:line="440" w:lineRule="exact"/>
        <w:rPr>
          <w:color w:val="auto"/>
          <w:szCs w:val="21"/>
          <w:highlight w:val="none"/>
        </w:rPr>
      </w:pPr>
      <w:r>
        <w:rPr>
          <w:color w:val="auto"/>
          <w:szCs w:val="21"/>
          <w:highlight w:val="none"/>
        </w:rPr>
        <w:t>评比公告</w:t>
      </w:r>
    </w:p>
    <w:p>
      <w:pPr>
        <w:numPr>
          <w:ilvl w:val="0"/>
          <w:numId w:val="4"/>
        </w:numPr>
        <w:adjustRightInd w:val="0"/>
        <w:snapToGrid w:val="0"/>
        <w:spacing w:line="440" w:lineRule="exact"/>
        <w:rPr>
          <w:color w:val="auto"/>
          <w:szCs w:val="21"/>
          <w:highlight w:val="none"/>
        </w:rPr>
      </w:pPr>
      <w:r>
        <w:rPr>
          <w:color w:val="auto"/>
          <w:szCs w:val="21"/>
          <w:highlight w:val="none"/>
        </w:rPr>
        <w:t>评比供应商须知</w:t>
      </w:r>
    </w:p>
    <w:p>
      <w:pPr>
        <w:numPr>
          <w:ilvl w:val="0"/>
          <w:numId w:val="4"/>
        </w:numPr>
        <w:adjustRightInd w:val="0"/>
        <w:snapToGrid w:val="0"/>
        <w:spacing w:line="440" w:lineRule="exact"/>
        <w:rPr>
          <w:color w:val="auto"/>
          <w:szCs w:val="21"/>
          <w:highlight w:val="none"/>
        </w:rPr>
      </w:pPr>
      <w:r>
        <w:rPr>
          <w:color w:val="auto"/>
          <w:szCs w:val="21"/>
          <w:highlight w:val="none"/>
        </w:rPr>
        <w:t>合同条件、格式</w:t>
      </w:r>
    </w:p>
    <w:p>
      <w:pPr>
        <w:numPr>
          <w:ilvl w:val="0"/>
          <w:numId w:val="4"/>
        </w:numPr>
        <w:adjustRightInd w:val="0"/>
        <w:snapToGrid w:val="0"/>
        <w:spacing w:line="440" w:lineRule="exact"/>
        <w:rPr>
          <w:color w:val="auto"/>
          <w:szCs w:val="21"/>
          <w:highlight w:val="none"/>
        </w:rPr>
      </w:pPr>
      <w:r>
        <w:rPr>
          <w:color w:val="auto"/>
          <w:szCs w:val="21"/>
          <w:highlight w:val="none"/>
        </w:rPr>
        <w:t>技术服务需求及说明</w:t>
      </w:r>
    </w:p>
    <w:p>
      <w:pPr>
        <w:numPr>
          <w:ilvl w:val="0"/>
          <w:numId w:val="4"/>
        </w:numPr>
        <w:adjustRightInd w:val="0"/>
        <w:snapToGrid w:val="0"/>
        <w:spacing w:line="440" w:lineRule="exact"/>
        <w:rPr>
          <w:color w:val="auto"/>
          <w:szCs w:val="21"/>
          <w:highlight w:val="none"/>
        </w:rPr>
      </w:pPr>
      <w:r>
        <w:rPr>
          <w:color w:val="auto"/>
          <w:szCs w:val="21"/>
          <w:highlight w:val="none"/>
        </w:rPr>
        <w:t>评比响应文件格式</w:t>
      </w:r>
    </w:p>
    <w:p>
      <w:pPr>
        <w:numPr>
          <w:ilvl w:val="0"/>
          <w:numId w:val="4"/>
        </w:numPr>
        <w:adjustRightInd w:val="0"/>
        <w:snapToGrid w:val="0"/>
        <w:spacing w:line="440" w:lineRule="exact"/>
        <w:rPr>
          <w:color w:val="auto"/>
          <w:szCs w:val="21"/>
          <w:highlight w:val="none"/>
        </w:rPr>
      </w:pPr>
      <w:r>
        <w:rPr>
          <w:color w:val="auto"/>
          <w:szCs w:val="21"/>
          <w:highlight w:val="none"/>
        </w:rPr>
        <w:t>评审办法</w:t>
      </w:r>
    </w:p>
    <w:p>
      <w:pPr>
        <w:adjustRightInd w:val="0"/>
        <w:snapToGrid w:val="0"/>
        <w:spacing w:line="440" w:lineRule="exact"/>
        <w:ind w:left="372" w:hanging="371" w:hangingChars="177"/>
        <w:rPr>
          <w:color w:val="auto"/>
          <w:szCs w:val="21"/>
          <w:highlight w:val="none"/>
        </w:rPr>
      </w:pPr>
      <w:r>
        <w:rPr>
          <w:color w:val="auto"/>
          <w:szCs w:val="21"/>
          <w:highlight w:val="none"/>
        </w:rPr>
        <w:t>6.2评比供应商应仔细阅读评比文件，并按照评比文件的规定格式编制评比响应文件，凡与评比文件的规定有重大不符的评比响应文件，将被视为无效评比，不予进入详细评审。</w:t>
      </w:r>
    </w:p>
    <w:p>
      <w:pPr>
        <w:numPr>
          <w:ilvl w:val="0"/>
          <w:numId w:val="2"/>
        </w:numPr>
        <w:adjustRightInd w:val="0"/>
        <w:snapToGrid w:val="0"/>
        <w:spacing w:line="440" w:lineRule="exact"/>
        <w:rPr>
          <w:b/>
          <w:bCs/>
          <w:color w:val="auto"/>
          <w:szCs w:val="21"/>
          <w:highlight w:val="none"/>
        </w:rPr>
      </w:pPr>
      <w:bookmarkStart w:id="18" w:name="_Toc23613350"/>
      <w:r>
        <w:rPr>
          <w:b/>
          <w:bCs/>
          <w:color w:val="auto"/>
          <w:szCs w:val="21"/>
          <w:highlight w:val="none"/>
        </w:rPr>
        <w:t>评比文件的澄清和解答</w:t>
      </w:r>
      <w:bookmarkEnd w:id="18"/>
    </w:p>
    <w:p>
      <w:pPr>
        <w:adjustRightInd w:val="0"/>
        <w:snapToGrid w:val="0"/>
        <w:spacing w:line="440" w:lineRule="exact"/>
        <w:ind w:left="372" w:hanging="371" w:hangingChars="177"/>
        <w:rPr>
          <w:color w:val="auto"/>
          <w:szCs w:val="21"/>
          <w:highlight w:val="none"/>
        </w:rPr>
      </w:pPr>
      <w:r>
        <w:rPr>
          <w:color w:val="auto"/>
          <w:szCs w:val="21"/>
          <w:highlight w:val="none"/>
        </w:rPr>
        <w:t>7.1评比供应商可以在本须知前附表中第6项规定的时间之前，对评比文件的有关事宜以书面形式（加盖公章）提请采购人予以澄清，采购人将通过书面形式向所有获得评比文件的评比供应商进行澄清（答复中不注明问题的来源）。</w:t>
      </w:r>
    </w:p>
    <w:p>
      <w:pPr>
        <w:numPr>
          <w:ilvl w:val="0"/>
          <w:numId w:val="2"/>
        </w:numPr>
        <w:adjustRightInd w:val="0"/>
        <w:snapToGrid w:val="0"/>
        <w:spacing w:line="440" w:lineRule="exact"/>
        <w:rPr>
          <w:b/>
          <w:bCs/>
          <w:color w:val="auto"/>
          <w:szCs w:val="21"/>
          <w:highlight w:val="none"/>
        </w:rPr>
      </w:pPr>
      <w:bookmarkStart w:id="19" w:name="_Toc23613351"/>
      <w:r>
        <w:rPr>
          <w:b/>
          <w:bCs/>
          <w:color w:val="auto"/>
          <w:szCs w:val="21"/>
          <w:highlight w:val="none"/>
        </w:rPr>
        <w:t>评比文件的修改</w:t>
      </w:r>
      <w:bookmarkEnd w:id="19"/>
    </w:p>
    <w:p>
      <w:pPr>
        <w:adjustRightInd w:val="0"/>
        <w:snapToGrid w:val="0"/>
        <w:spacing w:line="440" w:lineRule="exact"/>
        <w:ind w:left="372" w:hanging="371" w:hangingChars="177"/>
        <w:rPr>
          <w:color w:val="auto"/>
          <w:szCs w:val="21"/>
          <w:highlight w:val="none"/>
        </w:rPr>
      </w:pPr>
      <w:r>
        <w:rPr>
          <w:color w:val="auto"/>
          <w:szCs w:val="21"/>
          <w:highlight w:val="none"/>
        </w:rPr>
        <w:t>8.1采购人在评比截止日期3个工作日之前，可因任何原因，以补充通知的方式对评比文件进行修改。这种修改可能是采购人主动做出的，也可能是为了解答评比供应商疑问而做出的，采购人发出的所有的澄清/修改补充通知应视为评比文件的组成部分。</w:t>
      </w:r>
    </w:p>
    <w:p>
      <w:pPr>
        <w:adjustRightInd w:val="0"/>
        <w:snapToGrid w:val="0"/>
        <w:spacing w:line="440" w:lineRule="exact"/>
        <w:rPr>
          <w:color w:val="auto"/>
          <w:szCs w:val="21"/>
          <w:highlight w:val="none"/>
        </w:rPr>
      </w:pPr>
      <w:r>
        <w:rPr>
          <w:color w:val="auto"/>
          <w:szCs w:val="21"/>
          <w:highlight w:val="none"/>
        </w:rPr>
        <w:t>8.2采购人发出的补充通知若前后存在不一致，以后发者为准。</w:t>
      </w:r>
    </w:p>
    <w:p>
      <w:pPr>
        <w:adjustRightInd w:val="0"/>
        <w:snapToGrid w:val="0"/>
        <w:spacing w:line="440" w:lineRule="exact"/>
        <w:ind w:left="372" w:hanging="371" w:hangingChars="177"/>
        <w:rPr>
          <w:color w:val="auto"/>
          <w:szCs w:val="21"/>
          <w:highlight w:val="none"/>
        </w:rPr>
      </w:pPr>
      <w:r>
        <w:rPr>
          <w:color w:val="auto"/>
          <w:szCs w:val="21"/>
          <w:highlight w:val="none"/>
        </w:rPr>
        <w:t>8.3为便于评比供应商在合理的时间内，按照澄清/补充通知提出的要求编制评比响应文件，采购人可以在适当的时候延长评比截止期，采购人和评比供应商相应的权利与义务亦应随之延长。</w:t>
      </w:r>
    </w:p>
    <w:p>
      <w:pPr>
        <w:adjustRightInd w:val="0"/>
        <w:snapToGrid w:val="0"/>
        <w:spacing w:line="440" w:lineRule="exact"/>
        <w:ind w:left="372" w:hanging="371" w:hangingChars="177"/>
        <w:rPr>
          <w:color w:val="auto"/>
          <w:szCs w:val="21"/>
          <w:highlight w:val="none"/>
        </w:rPr>
      </w:pPr>
      <w:r>
        <w:rPr>
          <w:color w:val="auto"/>
          <w:szCs w:val="21"/>
          <w:highlight w:val="none"/>
        </w:rPr>
        <w:t>8.4评比供应商应在收到澄清/修改补充通知后24小时内以书面形式（加盖公章）向采购人确认收悉。</w:t>
      </w:r>
    </w:p>
    <w:p>
      <w:pPr>
        <w:adjustRightInd w:val="0"/>
        <w:snapToGrid w:val="0"/>
        <w:spacing w:line="440" w:lineRule="exact"/>
        <w:ind w:left="372" w:hanging="371" w:hangingChars="177"/>
        <w:rPr>
          <w:color w:val="auto"/>
          <w:szCs w:val="21"/>
          <w:highlight w:val="none"/>
        </w:rPr>
      </w:pPr>
    </w:p>
    <w:p>
      <w:pPr>
        <w:pStyle w:val="3"/>
        <w:spacing w:line="440" w:lineRule="exact"/>
        <w:rPr>
          <w:rFonts w:ascii="Times New Roman" w:hAnsi="Times New Roman" w:eastAsia="宋体"/>
          <w:color w:val="auto"/>
          <w:sz w:val="28"/>
          <w:szCs w:val="28"/>
          <w:highlight w:val="none"/>
        </w:rPr>
      </w:pPr>
      <w:bookmarkStart w:id="20" w:name="_Toc24455232"/>
      <w:bookmarkStart w:id="21" w:name="_Toc68963463"/>
      <w:bookmarkStart w:id="22" w:name="_Toc10213429"/>
      <w:bookmarkStart w:id="23" w:name="_Toc23613352"/>
      <w:bookmarkStart w:id="24" w:name="_Toc24083812"/>
      <w:bookmarkStart w:id="25" w:name="_Toc33340837"/>
      <w:r>
        <w:rPr>
          <w:rFonts w:ascii="Times New Roman" w:hAnsi="Times New Roman" w:eastAsia="宋体"/>
          <w:color w:val="auto"/>
          <w:sz w:val="28"/>
          <w:szCs w:val="28"/>
          <w:highlight w:val="none"/>
        </w:rPr>
        <w:t>三、评比响应文件的编制</w:t>
      </w:r>
      <w:bookmarkEnd w:id="20"/>
      <w:bookmarkEnd w:id="21"/>
      <w:bookmarkEnd w:id="22"/>
      <w:bookmarkEnd w:id="23"/>
      <w:bookmarkEnd w:id="24"/>
      <w:bookmarkEnd w:id="25"/>
    </w:p>
    <w:p>
      <w:pPr>
        <w:numPr>
          <w:ilvl w:val="0"/>
          <w:numId w:val="2"/>
        </w:numPr>
        <w:adjustRightInd w:val="0"/>
        <w:snapToGrid w:val="0"/>
        <w:spacing w:line="440" w:lineRule="exact"/>
        <w:rPr>
          <w:b/>
          <w:bCs/>
          <w:color w:val="auto"/>
          <w:szCs w:val="21"/>
          <w:highlight w:val="none"/>
        </w:rPr>
      </w:pPr>
      <w:r>
        <w:rPr>
          <w:b/>
          <w:bCs/>
          <w:color w:val="auto"/>
          <w:szCs w:val="21"/>
          <w:highlight w:val="none"/>
        </w:rPr>
        <w:t>评比响应文件的内容</w:t>
      </w:r>
    </w:p>
    <w:p>
      <w:pPr>
        <w:adjustRightInd w:val="0"/>
        <w:snapToGrid w:val="0"/>
        <w:spacing w:line="440" w:lineRule="exact"/>
        <w:rPr>
          <w:color w:val="auto"/>
          <w:szCs w:val="21"/>
          <w:highlight w:val="none"/>
        </w:rPr>
      </w:pPr>
      <w:r>
        <w:rPr>
          <w:color w:val="auto"/>
          <w:szCs w:val="21"/>
          <w:highlight w:val="none"/>
        </w:rPr>
        <w:t>9.1评比供应商编写的评比响应文件，应至少包括但不限于下列各项内容：</w:t>
      </w:r>
    </w:p>
    <w:p>
      <w:pPr>
        <w:adjustRightInd w:val="0"/>
        <w:snapToGrid w:val="0"/>
        <w:spacing w:line="480" w:lineRule="exact"/>
        <w:rPr>
          <w:color w:val="auto"/>
          <w:szCs w:val="21"/>
          <w:highlight w:val="none"/>
        </w:rPr>
      </w:pPr>
      <w:r>
        <w:rPr>
          <w:color w:val="auto"/>
          <w:szCs w:val="21"/>
          <w:highlight w:val="none"/>
        </w:rPr>
        <w:t>9.1.1评比函；</w:t>
      </w:r>
    </w:p>
    <w:p>
      <w:pPr>
        <w:tabs>
          <w:tab w:val="left" w:pos="644"/>
          <w:tab w:val="left" w:pos="1080"/>
          <w:tab w:val="left" w:pos="1260"/>
        </w:tabs>
        <w:adjustRightInd w:val="0"/>
        <w:snapToGrid w:val="0"/>
        <w:spacing w:line="480" w:lineRule="exact"/>
        <w:rPr>
          <w:color w:val="auto"/>
          <w:szCs w:val="21"/>
          <w:highlight w:val="none"/>
        </w:rPr>
      </w:pPr>
      <w:r>
        <w:rPr>
          <w:color w:val="auto"/>
          <w:szCs w:val="21"/>
          <w:highlight w:val="none"/>
        </w:rPr>
        <w:t>9.1.2 评比报价明细表；</w:t>
      </w:r>
    </w:p>
    <w:p>
      <w:pPr>
        <w:adjustRightInd w:val="0"/>
        <w:snapToGrid w:val="0"/>
        <w:spacing w:line="480" w:lineRule="exact"/>
        <w:rPr>
          <w:color w:val="auto"/>
          <w:szCs w:val="21"/>
          <w:highlight w:val="none"/>
        </w:rPr>
      </w:pPr>
      <w:r>
        <w:rPr>
          <w:color w:val="auto"/>
          <w:szCs w:val="21"/>
          <w:highlight w:val="none"/>
        </w:rPr>
        <w:t>9.1.3评比供应商基本情况表；</w:t>
      </w:r>
    </w:p>
    <w:p>
      <w:pPr>
        <w:tabs>
          <w:tab w:val="left" w:pos="644"/>
          <w:tab w:val="left" w:pos="1080"/>
          <w:tab w:val="left" w:pos="1260"/>
        </w:tabs>
        <w:adjustRightInd w:val="0"/>
        <w:snapToGrid w:val="0"/>
        <w:spacing w:line="480" w:lineRule="exact"/>
        <w:rPr>
          <w:color w:val="auto"/>
          <w:szCs w:val="21"/>
          <w:highlight w:val="none"/>
        </w:rPr>
      </w:pPr>
      <w:r>
        <w:rPr>
          <w:color w:val="auto"/>
          <w:szCs w:val="21"/>
          <w:highlight w:val="none"/>
        </w:rPr>
        <w:t>9.1.4交货人员构成；</w:t>
      </w:r>
    </w:p>
    <w:p>
      <w:pPr>
        <w:tabs>
          <w:tab w:val="left" w:pos="644"/>
          <w:tab w:val="left" w:pos="1080"/>
          <w:tab w:val="left" w:pos="1260"/>
        </w:tabs>
        <w:adjustRightInd w:val="0"/>
        <w:snapToGrid w:val="0"/>
        <w:spacing w:line="480" w:lineRule="exact"/>
        <w:rPr>
          <w:color w:val="auto"/>
          <w:szCs w:val="21"/>
          <w:highlight w:val="none"/>
        </w:rPr>
      </w:pPr>
      <w:r>
        <w:rPr>
          <w:color w:val="auto"/>
          <w:szCs w:val="21"/>
          <w:highlight w:val="none"/>
        </w:rPr>
        <w:t>9.1.5资质证明文件：</w:t>
      </w:r>
    </w:p>
    <w:p>
      <w:pPr>
        <w:tabs>
          <w:tab w:val="left" w:pos="5580"/>
        </w:tabs>
        <w:adjustRightInd w:val="0"/>
        <w:snapToGrid w:val="0"/>
        <w:spacing w:line="480" w:lineRule="exact"/>
        <w:rPr>
          <w:color w:val="auto"/>
          <w:szCs w:val="21"/>
          <w:highlight w:val="none"/>
        </w:rPr>
      </w:pPr>
      <w:r>
        <w:rPr>
          <w:color w:val="auto"/>
          <w:szCs w:val="21"/>
          <w:highlight w:val="none"/>
        </w:rPr>
        <w:t>(1) 营业执照（副本）或事业单位法人证书（副本）或个体工商户营业执照或有效的自然人身份证明或社会团体法人登记证书（提供复印件）</w:t>
      </w:r>
    </w:p>
    <w:p>
      <w:pPr>
        <w:tabs>
          <w:tab w:val="left" w:pos="5580"/>
        </w:tabs>
        <w:adjustRightInd w:val="0"/>
        <w:snapToGrid w:val="0"/>
        <w:spacing w:line="480" w:lineRule="exact"/>
        <w:rPr>
          <w:color w:val="auto"/>
          <w:szCs w:val="21"/>
          <w:highlight w:val="none"/>
        </w:rPr>
      </w:pPr>
      <w:r>
        <w:rPr>
          <w:color w:val="auto"/>
          <w:szCs w:val="21"/>
          <w:highlight w:val="none"/>
        </w:rPr>
        <w:t>(2) 法定代表人身份证明书（格式）</w:t>
      </w:r>
    </w:p>
    <w:p>
      <w:pPr>
        <w:tabs>
          <w:tab w:val="left" w:pos="6300"/>
        </w:tabs>
        <w:snapToGrid w:val="0"/>
        <w:spacing w:line="500" w:lineRule="exact"/>
        <w:rPr>
          <w:color w:val="auto"/>
          <w:szCs w:val="21"/>
          <w:highlight w:val="none"/>
        </w:rPr>
      </w:pPr>
      <w:r>
        <w:rPr>
          <w:color w:val="auto"/>
          <w:szCs w:val="21"/>
          <w:highlight w:val="none"/>
        </w:rPr>
        <w:t>(3)法定代表人授权委托书（格式）</w:t>
      </w:r>
    </w:p>
    <w:p>
      <w:pPr>
        <w:tabs>
          <w:tab w:val="left" w:pos="5580"/>
        </w:tabs>
        <w:adjustRightInd w:val="0"/>
        <w:snapToGrid w:val="0"/>
        <w:spacing w:line="480" w:lineRule="exact"/>
        <w:rPr>
          <w:color w:val="auto"/>
          <w:szCs w:val="21"/>
          <w:highlight w:val="none"/>
        </w:rPr>
      </w:pPr>
      <w:r>
        <w:rPr>
          <w:color w:val="auto"/>
          <w:szCs w:val="21"/>
          <w:highlight w:val="none"/>
        </w:rPr>
        <w:t xml:space="preserve">(4) </w:t>
      </w:r>
      <w:r>
        <w:rPr>
          <w:rFonts w:hint="eastAsia" w:ascii="宋体" w:hAnsi="宋体" w:eastAsia="宋体" w:cs="宋体"/>
          <w:color w:val="auto"/>
          <w:sz w:val="21"/>
          <w:szCs w:val="21"/>
          <w:highlight w:val="none"/>
        </w:rPr>
        <w:t>基本资格条件承诺函</w:t>
      </w:r>
      <w:r>
        <w:rPr>
          <w:rFonts w:ascii="Times New Roman" w:hAnsi="Times New Roman"/>
          <w:color w:val="auto"/>
          <w:sz w:val="21"/>
          <w:szCs w:val="21"/>
          <w:highlight w:val="none"/>
        </w:rPr>
        <w:t>（</w:t>
      </w:r>
      <w:r>
        <w:rPr>
          <w:rFonts w:hint="eastAsia"/>
          <w:color w:val="auto"/>
          <w:sz w:val="21"/>
          <w:szCs w:val="21"/>
          <w:highlight w:val="none"/>
          <w:lang w:val="en-US" w:eastAsia="zh-CN"/>
        </w:rPr>
        <w:t>格式</w:t>
      </w:r>
      <w:r>
        <w:rPr>
          <w:rFonts w:ascii="Times New Roman" w:hAnsi="Times New Roman"/>
          <w:color w:val="auto"/>
          <w:sz w:val="21"/>
          <w:szCs w:val="21"/>
          <w:highlight w:val="none"/>
        </w:rPr>
        <w:t>）</w:t>
      </w:r>
    </w:p>
    <w:p>
      <w:pPr>
        <w:pStyle w:val="22"/>
        <w:tabs>
          <w:tab w:val="left" w:pos="5580"/>
        </w:tabs>
        <w:adjustRightInd w:val="0"/>
        <w:snapToGrid w:val="0"/>
        <w:spacing w:line="480" w:lineRule="exact"/>
        <w:rPr>
          <w:rFonts w:hint="eastAsia" w:ascii="Times New Roman" w:hAnsi="Times New Roman" w:eastAsia="宋体"/>
          <w:color w:val="auto"/>
          <w:sz w:val="21"/>
          <w:szCs w:val="21"/>
          <w:highlight w:val="none"/>
          <w:lang w:eastAsia="zh-CN"/>
        </w:rPr>
      </w:pPr>
      <w:r>
        <w:rPr>
          <w:rFonts w:ascii="Times New Roman" w:hAnsi="Times New Roman"/>
          <w:color w:val="auto"/>
          <w:sz w:val="21"/>
          <w:szCs w:val="21"/>
          <w:highlight w:val="none"/>
        </w:rPr>
        <w:t>(5)特定资格条件证书或证明文件</w:t>
      </w:r>
      <w:r>
        <w:rPr>
          <w:rFonts w:hint="eastAsia" w:ascii="Times New Roman" w:hAnsi="Times New Roman"/>
          <w:color w:val="auto"/>
          <w:sz w:val="21"/>
          <w:szCs w:val="21"/>
          <w:highlight w:val="none"/>
          <w:lang w:eastAsia="zh-CN"/>
        </w:rPr>
        <w:t>（</w:t>
      </w:r>
      <w:r>
        <w:rPr>
          <w:rFonts w:hint="eastAsia" w:ascii="Times New Roman" w:hAnsi="Times New Roman"/>
          <w:color w:val="auto"/>
          <w:sz w:val="21"/>
          <w:szCs w:val="21"/>
          <w:highlight w:val="none"/>
          <w:lang w:val="en-US" w:eastAsia="zh-CN"/>
        </w:rPr>
        <w:t>若有</w:t>
      </w:r>
      <w:r>
        <w:rPr>
          <w:rFonts w:hint="eastAsia" w:ascii="Times New Roman" w:hAnsi="Times New Roman"/>
          <w:color w:val="auto"/>
          <w:sz w:val="21"/>
          <w:szCs w:val="21"/>
          <w:highlight w:val="none"/>
          <w:lang w:eastAsia="zh-CN"/>
        </w:rPr>
        <w:t>）</w:t>
      </w:r>
    </w:p>
    <w:p>
      <w:pPr>
        <w:pStyle w:val="22"/>
        <w:tabs>
          <w:tab w:val="left" w:pos="5580"/>
        </w:tabs>
        <w:adjustRightInd w:val="0"/>
        <w:snapToGrid w:val="0"/>
        <w:spacing w:line="480" w:lineRule="exact"/>
        <w:rPr>
          <w:rFonts w:ascii="Times New Roman" w:hAnsi="Times New Roman"/>
          <w:color w:val="auto"/>
          <w:sz w:val="21"/>
          <w:szCs w:val="21"/>
          <w:highlight w:val="none"/>
        </w:rPr>
      </w:pPr>
      <w:r>
        <w:rPr>
          <w:rFonts w:ascii="Times New Roman" w:hAnsi="Times New Roman"/>
          <w:color w:val="auto"/>
          <w:sz w:val="21"/>
          <w:szCs w:val="21"/>
          <w:highlight w:val="none"/>
        </w:rPr>
        <w:t>(</w:t>
      </w:r>
      <w:r>
        <w:rPr>
          <w:rFonts w:hint="eastAsia" w:ascii="Times New Roman" w:hAnsi="Times New Roman"/>
          <w:color w:val="auto"/>
          <w:sz w:val="21"/>
          <w:szCs w:val="21"/>
          <w:highlight w:val="none"/>
          <w:lang w:val="en-US" w:eastAsia="zh-CN"/>
        </w:rPr>
        <w:t>6</w:t>
      </w:r>
      <w:r>
        <w:rPr>
          <w:rFonts w:ascii="Times New Roman" w:hAnsi="Times New Roman"/>
          <w:color w:val="auto"/>
          <w:sz w:val="21"/>
          <w:szCs w:val="21"/>
          <w:highlight w:val="none"/>
        </w:rPr>
        <w:t>）评比文件要求的其他资格证明文件</w:t>
      </w:r>
      <w:r>
        <w:rPr>
          <w:rFonts w:hint="eastAsia" w:ascii="Times New Roman" w:hAnsi="Times New Roman"/>
          <w:color w:val="auto"/>
          <w:sz w:val="21"/>
          <w:szCs w:val="21"/>
          <w:highlight w:val="none"/>
          <w:lang w:eastAsia="zh-CN"/>
        </w:rPr>
        <w:t>（</w:t>
      </w:r>
      <w:r>
        <w:rPr>
          <w:rFonts w:hint="eastAsia" w:ascii="Times New Roman" w:hAnsi="Times New Roman"/>
          <w:color w:val="auto"/>
          <w:sz w:val="21"/>
          <w:szCs w:val="21"/>
          <w:highlight w:val="none"/>
          <w:lang w:val="en-US" w:eastAsia="zh-CN"/>
        </w:rPr>
        <w:t>若有</w:t>
      </w:r>
      <w:r>
        <w:rPr>
          <w:rFonts w:hint="eastAsia" w:ascii="Times New Roman" w:hAnsi="Times New Roman"/>
          <w:color w:val="auto"/>
          <w:sz w:val="21"/>
          <w:szCs w:val="21"/>
          <w:highlight w:val="none"/>
          <w:lang w:eastAsia="zh-CN"/>
        </w:rPr>
        <w:t>）</w:t>
      </w:r>
      <w:r>
        <w:rPr>
          <w:rFonts w:ascii="Times New Roman" w:hAnsi="Times New Roman"/>
          <w:color w:val="auto"/>
          <w:sz w:val="21"/>
          <w:szCs w:val="21"/>
          <w:highlight w:val="none"/>
        </w:rPr>
        <w:t>。</w:t>
      </w:r>
    </w:p>
    <w:p>
      <w:pPr>
        <w:tabs>
          <w:tab w:val="left" w:pos="540"/>
          <w:tab w:val="left" w:pos="644"/>
          <w:tab w:val="left" w:pos="1080"/>
        </w:tabs>
        <w:adjustRightInd w:val="0"/>
        <w:snapToGrid w:val="0"/>
        <w:spacing w:line="440" w:lineRule="exact"/>
        <w:rPr>
          <w:b/>
          <w:color w:val="auto"/>
          <w:szCs w:val="21"/>
          <w:highlight w:val="none"/>
        </w:rPr>
      </w:pPr>
      <w:r>
        <w:rPr>
          <w:b/>
          <w:color w:val="auto"/>
          <w:szCs w:val="21"/>
          <w:highlight w:val="none"/>
        </w:rPr>
        <w:t>（说明：以上除注明须提供原件的文件以外，均需提供清晰复印件</w:t>
      </w:r>
      <w:r>
        <w:rPr>
          <w:rFonts w:hint="eastAsia"/>
          <w:b/>
          <w:color w:val="auto"/>
          <w:szCs w:val="21"/>
          <w:highlight w:val="none"/>
          <w:lang w:val="en-US" w:eastAsia="zh-CN"/>
        </w:rPr>
        <w:t>或扫描件</w:t>
      </w:r>
      <w:r>
        <w:rPr>
          <w:b/>
          <w:color w:val="auto"/>
          <w:szCs w:val="21"/>
          <w:highlight w:val="none"/>
        </w:rPr>
        <w:t>并加盖公章，评比供应商必须保证其真实有效，如有伪造或不实，将导致其评比响应文件被拒绝。）</w:t>
      </w:r>
    </w:p>
    <w:p>
      <w:pPr>
        <w:pStyle w:val="22"/>
        <w:tabs>
          <w:tab w:val="left" w:pos="5580"/>
        </w:tabs>
        <w:adjustRightInd w:val="0"/>
        <w:snapToGrid w:val="0"/>
        <w:spacing w:line="480" w:lineRule="exact"/>
        <w:rPr>
          <w:rFonts w:ascii="Times New Roman" w:hAnsi="Times New Roman"/>
          <w:color w:val="auto"/>
          <w:sz w:val="21"/>
          <w:szCs w:val="21"/>
          <w:highlight w:val="none"/>
        </w:rPr>
      </w:pPr>
      <w:r>
        <w:rPr>
          <w:rFonts w:ascii="Times New Roman" w:hAnsi="Times New Roman"/>
          <w:color w:val="auto"/>
          <w:sz w:val="21"/>
          <w:szCs w:val="21"/>
          <w:highlight w:val="none"/>
        </w:rPr>
        <w:t>9.1.6技术响应偏离表</w:t>
      </w:r>
    </w:p>
    <w:p>
      <w:pPr>
        <w:pStyle w:val="22"/>
        <w:tabs>
          <w:tab w:val="left" w:pos="5580"/>
        </w:tabs>
        <w:adjustRightInd w:val="0"/>
        <w:snapToGrid w:val="0"/>
        <w:spacing w:line="480" w:lineRule="exact"/>
        <w:rPr>
          <w:rFonts w:ascii="Times New Roman" w:hAnsi="Times New Roman"/>
          <w:color w:val="auto"/>
          <w:sz w:val="21"/>
          <w:szCs w:val="21"/>
          <w:highlight w:val="none"/>
        </w:rPr>
      </w:pPr>
      <w:r>
        <w:rPr>
          <w:rFonts w:ascii="Times New Roman" w:hAnsi="Times New Roman"/>
          <w:color w:val="auto"/>
          <w:sz w:val="21"/>
          <w:szCs w:val="21"/>
          <w:highlight w:val="none"/>
        </w:rPr>
        <w:t>9.1.7商务响应偏离表</w:t>
      </w:r>
    </w:p>
    <w:p>
      <w:pPr>
        <w:pStyle w:val="22"/>
        <w:tabs>
          <w:tab w:val="left" w:pos="5580"/>
        </w:tabs>
        <w:adjustRightInd w:val="0"/>
        <w:snapToGrid w:val="0"/>
        <w:spacing w:line="480" w:lineRule="exact"/>
        <w:rPr>
          <w:rFonts w:ascii="Times New Roman" w:hAnsi="Times New Roman"/>
          <w:color w:val="auto"/>
          <w:sz w:val="21"/>
          <w:szCs w:val="21"/>
          <w:highlight w:val="none"/>
        </w:rPr>
      </w:pPr>
      <w:r>
        <w:rPr>
          <w:rFonts w:ascii="Times New Roman" w:hAnsi="Times New Roman"/>
          <w:color w:val="auto"/>
          <w:sz w:val="21"/>
          <w:szCs w:val="21"/>
          <w:highlight w:val="none"/>
        </w:rPr>
        <w:t>9.1.8其他认为应该提供的资料</w:t>
      </w:r>
    </w:p>
    <w:p>
      <w:pPr>
        <w:adjustRightInd w:val="0"/>
        <w:snapToGrid w:val="0"/>
        <w:spacing w:line="480" w:lineRule="exact"/>
        <w:ind w:left="420" w:hanging="420" w:hangingChars="200"/>
        <w:rPr>
          <w:color w:val="auto"/>
          <w:szCs w:val="21"/>
          <w:highlight w:val="none"/>
        </w:rPr>
      </w:pPr>
      <w:r>
        <w:rPr>
          <w:color w:val="auto"/>
          <w:szCs w:val="21"/>
          <w:highlight w:val="none"/>
        </w:rPr>
        <w:t>9.2本评比文件应符合以下要求：</w:t>
      </w:r>
    </w:p>
    <w:p>
      <w:pPr>
        <w:adjustRightInd w:val="0"/>
        <w:snapToGrid w:val="0"/>
        <w:spacing w:line="480" w:lineRule="exact"/>
        <w:ind w:left="420" w:hanging="420" w:hangingChars="200"/>
        <w:rPr>
          <w:color w:val="auto"/>
          <w:szCs w:val="21"/>
          <w:highlight w:val="none"/>
        </w:rPr>
      </w:pPr>
      <w:r>
        <w:rPr>
          <w:color w:val="auto"/>
          <w:szCs w:val="21"/>
          <w:highlight w:val="none"/>
        </w:rPr>
        <w:t>9.2.1本评比文件要求的或评比供应商认为有必要提供的其他资料，可根据所提供资料的内容和性质列</w:t>
      </w:r>
    </w:p>
    <w:p>
      <w:pPr>
        <w:adjustRightInd w:val="0"/>
        <w:snapToGrid w:val="0"/>
        <w:spacing w:line="480" w:lineRule="exact"/>
        <w:rPr>
          <w:color w:val="auto"/>
          <w:szCs w:val="21"/>
          <w:highlight w:val="none"/>
        </w:rPr>
      </w:pPr>
      <w:r>
        <w:rPr>
          <w:color w:val="auto"/>
          <w:szCs w:val="21"/>
          <w:highlight w:val="none"/>
        </w:rPr>
        <w:t>入上述各部分的文件中。</w:t>
      </w:r>
    </w:p>
    <w:p>
      <w:pPr>
        <w:adjustRightInd w:val="0"/>
        <w:snapToGrid w:val="0"/>
        <w:spacing w:line="480" w:lineRule="exact"/>
        <w:rPr>
          <w:color w:val="auto"/>
          <w:szCs w:val="21"/>
          <w:highlight w:val="none"/>
        </w:rPr>
      </w:pPr>
      <w:r>
        <w:rPr>
          <w:color w:val="auto"/>
          <w:szCs w:val="21"/>
          <w:highlight w:val="none"/>
        </w:rPr>
        <w:t>9.2.2评比供应商应使用评比文件提供的评比响应文件格式，表格可以按同样格式扩展。</w:t>
      </w:r>
    </w:p>
    <w:p>
      <w:pPr>
        <w:adjustRightInd w:val="0"/>
        <w:snapToGrid w:val="0"/>
        <w:spacing w:line="480" w:lineRule="exact"/>
        <w:rPr>
          <w:color w:val="auto"/>
          <w:szCs w:val="21"/>
          <w:highlight w:val="none"/>
        </w:rPr>
      </w:pPr>
      <w:r>
        <w:rPr>
          <w:color w:val="auto"/>
          <w:szCs w:val="21"/>
          <w:highlight w:val="none"/>
        </w:rPr>
        <w:t>9.2.3评比响应文件应印刷清晰整洁，编制目录，注明页码，以便查阅。</w:t>
      </w:r>
    </w:p>
    <w:p>
      <w:pPr>
        <w:adjustRightInd w:val="0"/>
        <w:snapToGrid w:val="0"/>
        <w:spacing w:line="480" w:lineRule="exact"/>
        <w:ind w:left="420" w:hanging="420" w:hangingChars="200"/>
        <w:rPr>
          <w:color w:val="auto"/>
          <w:szCs w:val="21"/>
          <w:highlight w:val="none"/>
        </w:rPr>
      </w:pPr>
      <w:r>
        <w:rPr>
          <w:color w:val="auto"/>
          <w:szCs w:val="21"/>
          <w:highlight w:val="none"/>
        </w:rPr>
        <w:t>9.2.4评比响应文件、评比交换的文件和往来信函应采用简体中文。除非评比文件另有规定，计量单位</w:t>
      </w:r>
    </w:p>
    <w:p>
      <w:pPr>
        <w:adjustRightInd w:val="0"/>
        <w:snapToGrid w:val="0"/>
        <w:spacing w:line="480" w:lineRule="exact"/>
        <w:ind w:firstLine="420" w:firstLineChars="200"/>
        <w:rPr>
          <w:color w:val="auto"/>
          <w:szCs w:val="21"/>
          <w:highlight w:val="none"/>
        </w:rPr>
      </w:pPr>
      <w:r>
        <w:rPr>
          <w:color w:val="auto"/>
          <w:szCs w:val="21"/>
          <w:highlight w:val="none"/>
        </w:rPr>
        <w:t>应使用中华人民共和国法定计量单位。</w:t>
      </w:r>
    </w:p>
    <w:p>
      <w:pPr>
        <w:adjustRightInd w:val="0"/>
        <w:snapToGrid w:val="0"/>
        <w:spacing w:line="480" w:lineRule="exact"/>
        <w:ind w:left="420" w:hanging="420" w:hangingChars="200"/>
        <w:rPr>
          <w:color w:val="auto"/>
          <w:szCs w:val="21"/>
          <w:highlight w:val="none"/>
        </w:rPr>
      </w:pPr>
      <w:r>
        <w:rPr>
          <w:color w:val="auto"/>
          <w:szCs w:val="21"/>
          <w:highlight w:val="none"/>
        </w:rPr>
        <w:t>9.2.5评比供应商应详细阅读评比文件的全部内容。评比响应文件必须对评比文件中的内容作出实质性和完整的响应，如果评比响应文件填报的内容资料不详，或没有对评比文件中的内容作出实质性和完整的响应其后果将由评比供应商自己负责。</w:t>
      </w:r>
    </w:p>
    <w:p>
      <w:pPr>
        <w:numPr>
          <w:ilvl w:val="0"/>
          <w:numId w:val="5"/>
        </w:numPr>
        <w:adjustRightInd w:val="0"/>
        <w:snapToGrid w:val="0"/>
        <w:spacing w:line="440" w:lineRule="exact"/>
        <w:rPr>
          <w:b/>
          <w:bCs/>
          <w:color w:val="auto"/>
          <w:szCs w:val="21"/>
          <w:highlight w:val="none"/>
        </w:rPr>
      </w:pPr>
      <w:bookmarkStart w:id="26" w:name="_Toc23613354"/>
      <w:r>
        <w:rPr>
          <w:b/>
          <w:bCs/>
          <w:color w:val="auto"/>
          <w:szCs w:val="21"/>
          <w:highlight w:val="none"/>
        </w:rPr>
        <w:t>评比报价</w:t>
      </w:r>
      <w:bookmarkEnd w:id="26"/>
      <w:r>
        <w:rPr>
          <w:b/>
          <w:bCs/>
          <w:color w:val="auto"/>
          <w:szCs w:val="21"/>
          <w:highlight w:val="none"/>
        </w:rPr>
        <w:t>说明</w:t>
      </w:r>
    </w:p>
    <w:p>
      <w:pPr>
        <w:adjustRightInd w:val="0"/>
        <w:snapToGrid w:val="0"/>
        <w:spacing w:line="440" w:lineRule="exact"/>
        <w:ind w:left="420" w:hanging="420" w:hangingChars="200"/>
        <w:rPr>
          <w:color w:val="auto"/>
          <w:szCs w:val="21"/>
          <w:highlight w:val="none"/>
        </w:rPr>
      </w:pPr>
      <w:r>
        <w:rPr>
          <w:color w:val="auto"/>
          <w:szCs w:val="21"/>
          <w:highlight w:val="none"/>
        </w:rPr>
        <w:t>10.1除非本评比文件或补充/澄清通知另有规定，评比范围应包括本须知所述的全部内容，评比供应商的报价应是按照国家相关规定，实施评比范围内全部服务内容所需的全部费用。</w:t>
      </w:r>
    </w:p>
    <w:p>
      <w:pPr>
        <w:adjustRightInd w:val="0"/>
        <w:snapToGrid w:val="0"/>
        <w:spacing w:line="440" w:lineRule="exact"/>
        <w:ind w:left="420" w:hanging="420" w:hangingChars="200"/>
        <w:rPr>
          <w:color w:val="auto"/>
          <w:szCs w:val="21"/>
          <w:highlight w:val="none"/>
        </w:rPr>
      </w:pPr>
      <w:r>
        <w:rPr>
          <w:color w:val="auto"/>
          <w:szCs w:val="21"/>
          <w:highlight w:val="none"/>
        </w:rPr>
        <w:t>10.2对于评比供应商在评比报价中没有进行报价的项目，并且该项目在评比文件中并没有明确提出免除评比供应商的服务义务，采购人将视为该服务项目的价格已包含在评比报价中，或由评比供应商免费提供该服务。</w:t>
      </w:r>
    </w:p>
    <w:p>
      <w:pPr>
        <w:adjustRightInd w:val="0"/>
        <w:snapToGrid w:val="0"/>
        <w:spacing w:line="440" w:lineRule="exact"/>
        <w:ind w:left="420" w:hanging="420" w:hangingChars="200"/>
        <w:rPr>
          <w:color w:val="auto"/>
          <w:szCs w:val="21"/>
          <w:highlight w:val="none"/>
        </w:rPr>
      </w:pPr>
      <w:r>
        <w:rPr>
          <w:color w:val="auto"/>
          <w:szCs w:val="21"/>
          <w:highlight w:val="none"/>
        </w:rPr>
        <w:t>10.3服务计费方式在委托范围内采用</w:t>
      </w:r>
      <w:r>
        <w:rPr>
          <w:b/>
          <w:bCs/>
          <w:color w:val="auto"/>
          <w:szCs w:val="21"/>
          <w:highlight w:val="none"/>
          <w:u w:val="single"/>
        </w:rPr>
        <w:t>包干制</w:t>
      </w:r>
      <w:r>
        <w:rPr>
          <w:color w:val="auto"/>
          <w:szCs w:val="21"/>
          <w:highlight w:val="none"/>
        </w:rPr>
        <w:t>。评比供应商必须综合考虑本项目的具体情况、评比供应商自身实力、市场竞争因素规定发生调整的情况，按照评比文件规定的格式和内容进行报价。</w:t>
      </w:r>
    </w:p>
    <w:p>
      <w:pPr>
        <w:adjustRightInd w:val="0"/>
        <w:snapToGrid w:val="0"/>
        <w:spacing w:line="440" w:lineRule="exact"/>
        <w:rPr>
          <w:color w:val="auto"/>
          <w:szCs w:val="21"/>
          <w:highlight w:val="none"/>
        </w:rPr>
      </w:pPr>
      <w:r>
        <w:rPr>
          <w:color w:val="auto"/>
          <w:szCs w:val="21"/>
          <w:highlight w:val="none"/>
        </w:rPr>
        <w:t>10.4评比价格均采用人民币币种报出。</w:t>
      </w:r>
    </w:p>
    <w:p>
      <w:pPr>
        <w:adjustRightInd w:val="0"/>
        <w:snapToGrid w:val="0"/>
        <w:spacing w:line="440" w:lineRule="exact"/>
        <w:ind w:left="420" w:hanging="420" w:hangingChars="200"/>
        <w:rPr>
          <w:color w:val="auto"/>
          <w:szCs w:val="21"/>
          <w:highlight w:val="none"/>
        </w:rPr>
      </w:pPr>
      <w:r>
        <w:rPr>
          <w:color w:val="auto"/>
          <w:szCs w:val="21"/>
          <w:highlight w:val="none"/>
        </w:rPr>
        <w:t>10.5评比供应商对评比报价若有说明应在评比报价信显著处给予注明，只有评比时唱出的报价和优惠条件，在评审时才会予以考虑。本项目不接受可选择的评比方案和报价。任何有选择的或可调整的评比方案和报价将被视为非响应性响应而被拒绝。</w:t>
      </w:r>
    </w:p>
    <w:p>
      <w:pPr>
        <w:adjustRightInd w:val="0"/>
        <w:snapToGrid w:val="0"/>
        <w:spacing w:line="440" w:lineRule="exact"/>
        <w:ind w:left="420" w:hanging="420" w:hangingChars="200"/>
        <w:rPr>
          <w:color w:val="auto"/>
          <w:szCs w:val="21"/>
          <w:highlight w:val="none"/>
        </w:rPr>
      </w:pPr>
      <w:r>
        <w:rPr>
          <w:color w:val="auto"/>
          <w:szCs w:val="21"/>
          <w:highlight w:val="none"/>
        </w:rPr>
        <w:t>10.6评比供应商评比报价超出预算价的评比将被拒绝。</w:t>
      </w:r>
    </w:p>
    <w:p>
      <w:pPr>
        <w:adjustRightInd w:val="0"/>
        <w:snapToGrid w:val="0"/>
        <w:spacing w:line="440" w:lineRule="exact"/>
        <w:rPr>
          <w:b/>
          <w:bCs/>
          <w:color w:val="auto"/>
          <w:szCs w:val="21"/>
          <w:highlight w:val="none"/>
        </w:rPr>
      </w:pPr>
      <w:r>
        <w:rPr>
          <w:b/>
          <w:bCs/>
          <w:color w:val="auto"/>
          <w:szCs w:val="21"/>
          <w:highlight w:val="none"/>
        </w:rPr>
        <w:t>11.  评比有效期</w:t>
      </w:r>
    </w:p>
    <w:p>
      <w:pPr>
        <w:adjustRightInd w:val="0"/>
        <w:snapToGrid w:val="0"/>
        <w:spacing w:line="440" w:lineRule="exact"/>
        <w:ind w:left="420" w:hanging="420" w:hangingChars="200"/>
        <w:rPr>
          <w:color w:val="auto"/>
          <w:szCs w:val="21"/>
          <w:highlight w:val="none"/>
        </w:rPr>
      </w:pPr>
      <w:r>
        <w:rPr>
          <w:color w:val="auto"/>
          <w:szCs w:val="21"/>
          <w:highlight w:val="none"/>
        </w:rPr>
        <w:t>11.1评比有效期为评比之日后本须知前附表中第</w:t>
      </w:r>
      <w:r>
        <w:rPr>
          <w:color w:val="auto"/>
          <w:szCs w:val="21"/>
          <w:highlight w:val="none"/>
          <w:u w:val="single"/>
        </w:rPr>
        <w:t>7</w:t>
      </w:r>
      <w:r>
        <w:rPr>
          <w:color w:val="auto"/>
          <w:szCs w:val="21"/>
          <w:highlight w:val="none"/>
        </w:rPr>
        <w:t>项所述的日历日。在此期间内，所有评比响应文件均保持有效。</w:t>
      </w:r>
    </w:p>
    <w:p>
      <w:pPr>
        <w:adjustRightInd w:val="0"/>
        <w:snapToGrid w:val="0"/>
        <w:spacing w:line="440" w:lineRule="exact"/>
        <w:ind w:left="525" w:hanging="525" w:hangingChars="250"/>
        <w:rPr>
          <w:color w:val="auto"/>
          <w:szCs w:val="21"/>
          <w:highlight w:val="none"/>
        </w:rPr>
      </w:pPr>
      <w:r>
        <w:rPr>
          <w:color w:val="auto"/>
          <w:szCs w:val="21"/>
          <w:highlight w:val="none"/>
        </w:rPr>
        <w:t>11.2在原定评比有效期满之前，如果出现特殊情况，采购人可适当延长评比有效期，并及时通知评比供应商。</w:t>
      </w:r>
    </w:p>
    <w:p>
      <w:pPr>
        <w:adjustRightInd w:val="0"/>
        <w:snapToGrid w:val="0"/>
        <w:spacing w:line="440" w:lineRule="exact"/>
        <w:rPr>
          <w:b/>
          <w:bCs/>
          <w:color w:val="auto"/>
          <w:szCs w:val="21"/>
          <w:highlight w:val="none"/>
        </w:rPr>
      </w:pPr>
      <w:r>
        <w:rPr>
          <w:b/>
          <w:bCs/>
          <w:color w:val="auto"/>
          <w:szCs w:val="21"/>
          <w:highlight w:val="none"/>
        </w:rPr>
        <w:t>12．评比保证金（本项目不涉及）</w:t>
      </w:r>
    </w:p>
    <w:p>
      <w:pPr>
        <w:adjustRightInd w:val="0"/>
        <w:snapToGrid w:val="0"/>
        <w:spacing w:line="440" w:lineRule="exact"/>
        <w:ind w:left="420" w:hanging="420" w:hangingChars="200"/>
        <w:rPr>
          <w:color w:val="auto"/>
          <w:szCs w:val="21"/>
          <w:highlight w:val="none"/>
        </w:rPr>
      </w:pPr>
      <w:r>
        <w:rPr>
          <w:color w:val="auto"/>
          <w:szCs w:val="21"/>
          <w:highlight w:val="none"/>
        </w:rPr>
        <w:t>12.1评比供应商在递交评比响应文件之前必须向采购人交纳本须知前附表第</w:t>
      </w:r>
      <w:r>
        <w:rPr>
          <w:color w:val="auto"/>
          <w:szCs w:val="21"/>
          <w:highlight w:val="none"/>
          <w:u w:val="single"/>
        </w:rPr>
        <w:t>8</w:t>
      </w:r>
      <w:r>
        <w:rPr>
          <w:color w:val="auto"/>
          <w:szCs w:val="21"/>
          <w:highlight w:val="none"/>
        </w:rPr>
        <w:t>项所述金额的评比保证金。</w:t>
      </w:r>
    </w:p>
    <w:p>
      <w:pPr>
        <w:adjustRightInd w:val="0"/>
        <w:snapToGrid w:val="0"/>
        <w:spacing w:line="440" w:lineRule="exact"/>
        <w:rPr>
          <w:color w:val="auto"/>
          <w:szCs w:val="21"/>
          <w:highlight w:val="none"/>
        </w:rPr>
      </w:pPr>
      <w:r>
        <w:rPr>
          <w:color w:val="auto"/>
          <w:szCs w:val="21"/>
          <w:highlight w:val="none"/>
        </w:rPr>
        <w:t>12.2评比保证金有效期应与评比有效期保持一致。</w:t>
      </w:r>
    </w:p>
    <w:p>
      <w:pPr>
        <w:adjustRightInd w:val="0"/>
        <w:snapToGrid w:val="0"/>
        <w:spacing w:line="440" w:lineRule="exact"/>
        <w:ind w:left="420" w:hanging="420" w:hangingChars="200"/>
        <w:rPr>
          <w:color w:val="auto"/>
          <w:szCs w:val="21"/>
          <w:highlight w:val="none"/>
        </w:rPr>
      </w:pPr>
      <w:r>
        <w:rPr>
          <w:color w:val="auto"/>
          <w:szCs w:val="21"/>
          <w:highlight w:val="none"/>
        </w:rPr>
        <w:t>12.3评比供应商若依据本须知第</w:t>
      </w:r>
      <w:r>
        <w:rPr>
          <w:color w:val="auto"/>
          <w:szCs w:val="21"/>
          <w:highlight w:val="none"/>
          <w:u w:val="single"/>
        </w:rPr>
        <w:t>11</w:t>
      </w:r>
      <w:r>
        <w:rPr>
          <w:color w:val="auto"/>
          <w:szCs w:val="21"/>
          <w:highlight w:val="none"/>
        </w:rPr>
        <w:t>条的规定延长了评比响应文件有效期，评比保证金的有效期也相应延长；若评比供应商不同意延长评比有效期而放弃评比，评比代理机构将在原评比保证金有效期内退还其评比保证金。对于未能按要求提交足额评比保证金的评比响应文件，可视为不响应评比文件而予以拒绝。</w:t>
      </w:r>
    </w:p>
    <w:p>
      <w:pPr>
        <w:adjustRightInd w:val="0"/>
        <w:snapToGrid w:val="0"/>
        <w:spacing w:line="440" w:lineRule="exact"/>
        <w:ind w:left="420" w:hanging="420" w:hangingChars="200"/>
        <w:rPr>
          <w:color w:val="auto"/>
          <w:szCs w:val="21"/>
          <w:highlight w:val="none"/>
        </w:rPr>
      </w:pPr>
      <w:r>
        <w:rPr>
          <w:color w:val="auto"/>
          <w:szCs w:val="21"/>
          <w:highlight w:val="none"/>
        </w:rPr>
        <w:t>12.4成交人的评比保证金将在成交人按规定与评比供应商签订合同之后5个工作日内无息返还；未成交评比供应商的评比保证金，将在成交通知书发出后5个工作日内无息返还。</w:t>
      </w:r>
    </w:p>
    <w:p>
      <w:pPr>
        <w:adjustRightInd w:val="0"/>
        <w:snapToGrid w:val="0"/>
        <w:spacing w:line="440" w:lineRule="exact"/>
        <w:rPr>
          <w:color w:val="auto"/>
          <w:szCs w:val="21"/>
          <w:highlight w:val="none"/>
        </w:rPr>
      </w:pPr>
      <w:r>
        <w:rPr>
          <w:color w:val="auto"/>
          <w:szCs w:val="21"/>
          <w:highlight w:val="none"/>
        </w:rPr>
        <w:t>12.5评比供应商如有下列情况，其评比保证金将不予退还：</w:t>
      </w:r>
    </w:p>
    <w:p>
      <w:pPr>
        <w:tabs>
          <w:tab w:val="left" w:pos="882"/>
        </w:tabs>
        <w:adjustRightInd w:val="0"/>
        <w:snapToGrid w:val="0"/>
        <w:spacing w:line="440" w:lineRule="exact"/>
        <w:rPr>
          <w:color w:val="auto"/>
          <w:szCs w:val="21"/>
          <w:highlight w:val="none"/>
        </w:rPr>
      </w:pPr>
      <w:r>
        <w:rPr>
          <w:color w:val="auto"/>
          <w:szCs w:val="21"/>
          <w:highlight w:val="none"/>
        </w:rPr>
        <w:t>12.5.1评比供应商在评比有效期内修改或撤回其评比响应文件；</w:t>
      </w:r>
    </w:p>
    <w:p>
      <w:pPr>
        <w:tabs>
          <w:tab w:val="left" w:pos="882"/>
        </w:tabs>
        <w:adjustRightInd w:val="0"/>
        <w:snapToGrid w:val="0"/>
        <w:spacing w:line="440" w:lineRule="exact"/>
        <w:rPr>
          <w:color w:val="auto"/>
          <w:szCs w:val="21"/>
          <w:highlight w:val="none"/>
        </w:rPr>
      </w:pPr>
      <w:r>
        <w:rPr>
          <w:color w:val="auto"/>
          <w:szCs w:val="21"/>
          <w:highlight w:val="none"/>
        </w:rPr>
        <w:t>12.5.2串通作弊、哄抬标价；</w:t>
      </w:r>
    </w:p>
    <w:p>
      <w:pPr>
        <w:tabs>
          <w:tab w:val="left" w:pos="882"/>
        </w:tabs>
        <w:adjustRightInd w:val="0"/>
        <w:snapToGrid w:val="0"/>
        <w:spacing w:line="440" w:lineRule="exact"/>
        <w:rPr>
          <w:color w:val="auto"/>
          <w:szCs w:val="21"/>
          <w:highlight w:val="none"/>
        </w:rPr>
      </w:pPr>
      <w:r>
        <w:rPr>
          <w:color w:val="auto"/>
          <w:szCs w:val="21"/>
          <w:highlight w:val="none"/>
        </w:rPr>
        <w:t>12.5.3成交的评比供应商未能在规定的期限内与评比供应商签订合同；</w:t>
      </w:r>
    </w:p>
    <w:p>
      <w:pPr>
        <w:adjustRightInd w:val="0"/>
        <w:snapToGrid w:val="0"/>
        <w:spacing w:line="440" w:lineRule="exact"/>
        <w:rPr>
          <w:b/>
          <w:bCs/>
          <w:color w:val="auto"/>
          <w:szCs w:val="21"/>
          <w:highlight w:val="none"/>
        </w:rPr>
      </w:pPr>
      <w:bookmarkStart w:id="27" w:name="_Toc23613356"/>
      <w:r>
        <w:rPr>
          <w:b/>
          <w:bCs/>
          <w:color w:val="auto"/>
          <w:szCs w:val="21"/>
          <w:highlight w:val="none"/>
        </w:rPr>
        <w:t>13．评比响应文件的签署</w:t>
      </w:r>
      <w:bookmarkEnd w:id="27"/>
    </w:p>
    <w:p>
      <w:pPr>
        <w:numPr>
          <w:ilvl w:val="1"/>
          <w:numId w:val="6"/>
        </w:numPr>
        <w:adjustRightInd w:val="0"/>
        <w:snapToGrid w:val="0"/>
        <w:spacing w:line="440" w:lineRule="exact"/>
        <w:rPr>
          <w:color w:val="auto"/>
          <w:szCs w:val="21"/>
          <w:highlight w:val="none"/>
        </w:rPr>
      </w:pPr>
      <w:r>
        <w:rPr>
          <w:color w:val="auto"/>
          <w:szCs w:val="21"/>
          <w:highlight w:val="none"/>
        </w:rPr>
        <w:t>评比供应商应按本须知第9条规定内容与格式向采购人送交评比响应文件，评比供应商应针对所投项目</w:t>
      </w:r>
      <w:r>
        <w:rPr>
          <w:bCs/>
          <w:color w:val="auto"/>
          <w:szCs w:val="21"/>
          <w:highlight w:val="none"/>
        </w:rPr>
        <w:t>准备</w:t>
      </w:r>
      <w:r>
        <w:rPr>
          <w:color w:val="auto"/>
          <w:szCs w:val="21"/>
          <w:highlight w:val="none"/>
        </w:rPr>
        <w:t>评比响应</w:t>
      </w:r>
      <w:r>
        <w:rPr>
          <w:b/>
          <w:color w:val="auto"/>
          <w:szCs w:val="21"/>
          <w:highlight w:val="none"/>
        </w:rPr>
        <w:t>纸质文件</w:t>
      </w:r>
      <w:r>
        <w:rPr>
          <w:b/>
          <w:bCs/>
          <w:color w:val="auto"/>
          <w:szCs w:val="21"/>
          <w:highlight w:val="none"/>
        </w:rPr>
        <w:t>正</w:t>
      </w:r>
      <w:r>
        <w:rPr>
          <w:b/>
          <w:color w:val="auto"/>
          <w:szCs w:val="21"/>
          <w:highlight w:val="none"/>
        </w:rPr>
        <w:t>本一份，副本二份，</w:t>
      </w:r>
      <w:r>
        <w:rPr>
          <w:color w:val="auto"/>
          <w:szCs w:val="21"/>
          <w:highlight w:val="none"/>
        </w:rPr>
        <w:t>并在封面上明确标明“正本”和“副本”的字样，评比响应文件</w:t>
      </w:r>
      <w:r>
        <w:rPr>
          <w:b/>
          <w:color w:val="auto"/>
          <w:szCs w:val="21"/>
          <w:highlight w:val="none"/>
        </w:rPr>
        <w:t>电子版一份（推荐采用光盘或U盘为电子文档载体，并单独密封），</w:t>
      </w:r>
      <w:r>
        <w:rPr>
          <w:color w:val="auto"/>
          <w:szCs w:val="21"/>
          <w:highlight w:val="none"/>
        </w:rPr>
        <w:t>当正本与副本有不一致之处时，以正本为准。评比响应文件的副本可为正本的复印件。</w:t>
      </w:r>
    </w:p>
    <w:p>
      <w:pPr>
        <w:numPr>
          <w:ilvl w:val="1"/>
          <w:numId w:val="6"/>
        </w:numPr>
        <w:adjustRightInd w:val="0"/>
        <w:snapToGrid w:val="0"/>
        <w:spacing w:line="440" w:lineRule="exact"/>
        <w:rPr>
          <w:color w:val="auto"/>
          <w:szCs w:val="21"/>
          <w:highlight w:val="none"/>
        </w:rPr>
      </w:pPr>
      <w:r>
        <w:rPr>
          <w:color w:val="auto"/>
          <w:szCs w:val="21"/>
          <w:highlight w:val="none"/>
        </w:rPr>
        <w:t>评比响应文件的正本，一律用不褪色的墨水书写或打印，评比响应文件应按响应文件格式要求加盖评比供应商单位公章，并由评比供应商的法定代表人或其授权的代理人按其规定签字或盖章。</w:t>
      </w:r>
    </w:p>
    <w:p>
      <w:pPr>
        <w:numPr>
          <w:ilvl w:val="1"/>
          <w:numId w:val="6"/>
        </w:numPr>
        <w:adjustRightInd w:val="0"/>
        <w:snapToGrid w:val="0"/>
        <w:spacing w:line="440" w:lineRule="exact"/>
        <w:rPr>
          <w:color w:val="auto"/>
          <w:szCs w:val="21"/>
          <w:highlight w:val="none"/>
        </w:rPr>
      </w:pPr>
      <w:r>
        <w:rPr>
          <w:color w:val="auto"/>
          <w:szCs w:val="21"/>
          <w:highlight w:val="none"/>
        </w:rPr>
        <w:t>全套评比响应文件应无涂改和行间插字，若有改动，无论何种原因所造成，都应由评比供应商的法定代表人或其授权的代理人或自然人在改动处签字。</w:t>
      </w:r>
    </w:p>
    <w:p>
      <w:pPr>
        <w:numPr>
          <w:ilvl w:val="1"/>
          <w:numId w:val="6"/>
        </w:numPr>
        <w:adjustRightInd w:val="0"/>
        <w:snapToGrid w:val="0"/>
        <w:spacing w:line="440" w:lineRule="exact"/>
        <w:rPr>
          <w:color w:val="auto"/>
          <w:szCs w:val="21"/>
          <w:highlight w:val="none"/>
        </w:rPr>
      </w:pPr>
      <w:r>
        <w:rPr>
          <w:color w:val="auto"/>
          <w:szCs w:val="21"/>
          <w:highlight w:val="none"/>
        </w:rPr>
        <w:t>评比响应文件应严格按照评比文件规定的顺序装订成册并编制目录，由于编排混乱导致评比响应文件被误读或查找不到，视为评比供应商的责任。</w:t>
      </w:r>
    </w:p>
    <w:p>
      <w:pPr>
        <w:numPr>
          <w:ilvl w:val="1"/>
          <w:numId w:val="6"/>
        </w:numPr>
        <w:adjustRightInd w:val="0"/>
        <w:snapToGrid w:val="0"/>
        <w:spacing w:line="440" w:lineRule="exact"/>
        <w:rPr>
          <w:color w:val="auto"/>
          <w:szCs w:val="21"/>
          <w:highlight w:val="none"/>
        </w:rPr>
      </w:pPr>
      <w:r>
        <w:rPr>
          <w:color w:val="auto"/>
          <w:szCs w:val="21"/>
          <w:highlight w:val="none"/>
        </w:rPr>
        <w:t>评比响应文件应严格按照评比文件的要求提交，并按规定的统一格式逐项填写，不准有空项；无相应内容可填写“无”、“无相应指标”等明确的回答文字。</w:t>
      </w:r>
    </w:p>
    <w:p>
      <w:pPr>
        <w:numPr>
          <w:ilvl w:val="1"/>
          <w:numId w:val="6"/>
        </w:numPr>
        <w:adjustRightInd w:val="0"/>
        <w:snapToGrid w:val="0"/>
        <w:spacing w:line="440" w:lineRule="exact"/>
        <w:rPr>
          <w:color w:val="auto"/>
          <w:szCs w:val="21"/>
          <w:highlight w:val="none"/>
        </w:rPr>
      </w:pPr>
      <w:r>
        <w:rPr>
          <w:color w:val="auto"/>
          <w:szCs w:val="21"/>
          <w:highlight w:val="none"/>
        </w:rPr>
        <w:t>评比报价表为评比会上公开唱标的内容，要求按格式统一填写，不得自行增减内容。评比供应商必须保证评比响应文件所提供的全部资料真实可靠，并接受评审委员会对其中任何资料进一步审查的要求。</w:t>
      </w:r>
      <w:bookmarkStart w:id="28" w:name="_Toc33340838"/>
      <w:bookmarkStart w:id="29" w:name="_Toc24455233"/>
      <w:bookmarkStart w:id="30" w:name="_Toc68963464"/>
      <w:bookmarkStart w:id="31" w:name="_Toc10213430"/>
      <w:bookmarkStart w:id="32" w:name="_Toc24083813"/>
    </w:p>
    <w:p>
      <w:pPr>
        <w:tabs>
          <w:tab w:val="left" w:pos="420"/>
        </w:tabs>
        <w:adjustRightInd w:val="0"/>
        <w:snapToGrid w:val="0"/>
        <w:spacing w:line="440" w:lineRule="exact"/>
        <w:rPr>
          <w:color w:val="auto"/>
          <w:szCs w:val="21"/>
          <w:highlight w:val="none"/>
        </w:rPr>
      </w:pPr>
    </w:p>
    <w:p>
      <w:pPr>
        <w:pStyle w:val="3"/>
        <w:numPr>
          <w:ilvl w:val="0"/>
          <w:numId w:val="7"/>
        </w:numPr>
        <w:spacing w:line="440" w:lineRule="exact"/>
        <w:rPr>
          <w:rFonts w:ascii="Times New Roman" w:hAnsi="Times New Roman" w:eastAsia="宋体"/>
          <w:color w:val="auto"/>
          <w:sz w:val="28"/>
          <w:szCs w:val="28"/>
          <w:highlight w:val="none"/>
        </w:rPr>
      </w:pPr>
      <w:r>
        <w:rPr>
          <w:rFonts w:ascii="Times New Roman" w:hAnsi="Times New Roman" w:eastAsia="宋体"/>
          <w:color w:val="auto"/>
          <w:sz w:val="28"/>
          <w:szCs w:val="28"/>
          <w:highlight w:val="none"/>
        </w:rPr>
        <w:t>评比响应文件的递交</w:t>
      </w:r>
      <w:bookmarkEnd w:id="28"/>
      <w:bookmarkEnd w:id="29"/>
      <w:bookmarkEnd w:id="30"/>
      <w:bookmarkEnd w:id="31"/>
      <w:bookmarkEnd w:id="32"/>
    </w:p>
    <w:p>
      <w:pPr>
        <w:rPr>
          <w:color w:val="auto"/>
          <w:highlight w:val="none"/>
        </w:rPr>
      </w:pPr>
    </w:p>
    <w:p>
      <w:pPr>
        <w:adjustRightInd w:val="0"/>
        <w:snapToGrid w:val="0"/>
        <w:spacing w:line="440" w:lineRule="exact"/>
        <w:rPr>
          <w:b/>
          <w:bCs/>
          <w:color w:val="auto"/>
          <w:szCs w:val="21"/>
          <w:highlight w:val="none"/>
        </w:rPr>
      </w:pPr>
      <w:r>
        <w:rPr>
          <w:b/>
          <w:bCs/>
          <w:color w:val="auto"/>
          <w:szCs w:val="21"/>
          <w:highlight w:val="none"/>
        </w:rPr>
        <w:t>14.  评比响应文件的装订、密封和标记</w:t>
      </w:r>
    </w:p>
    <w:p>
      <w:pPr>
        <w:adjustRightInd w:val="0"/>
        <w:snapToGrid w:val="0"/>
        <w:spacing w:line="440" w:lineRule="exact"/>
        <w:ind w:firstLine="420" w:firstLineChars="200"/>
        <w:rPr>
          <w:color w:val="auto"/>
          <w:szCs w:val="21"/>
          <w:highlight w:val="none"/>
        </w:rPr>
      </w:pPr>
      <w:r>
        <w:rPr>
          <w:color w:val="auto"/>
          <w:szCs w:val="21"/>
          <w:highlight w:val="none"/>
        </w:rPr>
        <w:t>评比供应商应将评比响应文件按照本须知第</w:t>
      </w:r>
      <w:r>
        <w:rPr>
          <w:color w:val="auto"/>
          <w:szCs w:val="21"/>
          <w:highlight w:val="none"/>
          <w:u w:val="single"/>
        </w:rPr>
        <w:t>9</w:t>
      </w:r>
      <w:r>
        <w:rPr>
          <w:color w:val="auto"/>
          <w:szCs w:val="21"/>
          <w:highlight w:val="none"/>
        </w:rPr>
        <w:t>条规定的内容和顺序进行编排。</w:t>
      </w:r>
    </w:p>
    <w:p>
      <w:pPr>
        <w:adjustRightInd w:val="0"/>
        <w:snapToGrid w:val="0"/>
        <w:spacing w:line="440" w:lineRule="exact"/>
        <w:ind w:left="420" w:hanging="420" w:hangingChars="200"/>
        <w:rPr>
          <w:color w:val="auto"/>
          <w:szCs w:val="21"/>
          <w:highlight w:val="none"/>
        </w:rPr>
      </w:pPr>
      <w:r>
        <w:rPr>
          <w:color w:val="auto"/>
          <w:szCs w:val="21"/>
          <w:highlight w:val="none"/>
        </w:rPr>
        <w:t>14.1评比响应文件正本、副本电子版应分别密封，并注明“正本”、“副本”及“电子版”字样。然后将所有评比响应文件统一封装在一个外层封套中，封口处需加盖评比供应商公章。</w:t>
      </w:r>
    </w:p>
    <w:p>
      <w:pPr>
        <w:adjustRightInd w:val="0"/>
        <w:snapToGrid w:val="0"/>
        <w:spacing w:line="440" w:lineRule="exact"/>
        <w:rPr>
          <w:color w:val="auto"/>
          <w:szCs w:val="21"/>
          <w:highlight w:val="none"/>
        </w:rPr>
      </w:pPr>
      <w:r>
        <w:rPr>
          <w:color w:val="auto"/>
          <w:szCs w:val="21"/>
          <w:highlight w:val="none"/>
        </w:rPr>
        <w:t>14.2在评比响应文件外层封套上均应注明下列识别标志：</w:t>
      </w:r>
    </w:p>
    <w:p>
      <w:pPr>
        <w:numPr>
          <w:ilvl w:val="0"/>
          <w:numId w:val="8"/>
        </w:numPr>
        <w:adjustRightInd w:val="0"/>
        <w:snapToGrid w:val="0"/>
        <w:spacing w:line="440" w:lineRule="exact"/>
        <w:rPr>
          <w:color w:val="auto"/>
          <w:szCs w:val="21"/>
          <w:highlight w:val="none"/>
        </w:rPr>
      </w:pPr>
      <w:r>
        <w:rPr>
          <w:color w:val="auto"/>
          <w:szCs w:val="21"/>
          <w:highlight w:val="none"/>
        </w:rPr>
        <w:t>项目名称；</w:t>
      </w:r>
    </w:p>
    <w:p>
      <w:pPr>
        <w:numPr>
          <w:ilvl w:val="0"/>
          <w:numId w:val="8"/>
        </w:numPr>
        <w:adjustRightInd w:val="0"/>
        <w:snapToGrid w:val="0"/>
        <w:spacing w:line="440" w:lineRule="exact"/>
        <w:rPr>
          <w:color w:val="auto"/>
          <w:szCs w:val="21"/>
          <w:highlight w:val="none"/>
        </w:rPr>
      </w:pPr>
      <w:r>
        <w:rPr>
          <w:color w:val="auto"/>
          <w:szCs w:val="21"/>
          <w:highlight w:val="none"/>
        </w:rPr>
        <w:t>项目编号；</w:t>
      </w:r>
    </w:p>
    <w:p>
      <w:pPr>
        <w:numPr>
          <w:ilvl w:val="0"/>
          <w:numId w:val="8"/>
        </w:numPr>
        <w:adjustRightInd w:val="0"/>
        <w:snapToGrid w:val="0"/>
        <w:spacing w:line="440" w:lineRule="exact"/>
        <w:rPr>
          <w:color w:val="auto"/>
          <w:szCs w:val="21"/>
          <w:highlight w:val="none"/>
        </w:rPr>
      </w:pPr>
      <w:r>
        <w:rPr>
          <w:color w:val="auto"/>
          <w:szCs w:val="21"/>
          <w:highlight w:val="none"/>
        </w:rPr>
        <w:t>评比响应文件递交地点；</w:t>
      </w:r>
    </w:p>
    <w:p>
      <w:pPr>
        <w:numPr>
          <w:ilvl w:val="0"/>
          <w:numId w:val="8"/>
        </w:numPr>
        <w:adjustRightInd w:val="0"/>
        <w:snapToGrid w:val="0"/>
        <w:spacing w:line="440" w:lineRule="exact"/>
        <w:rPr>
          <w:color w:val="auto"/>
          <w:szCs w:val="21"/>
          <w:highlight w:val="none"/>
        </w:rPr>
      </w:pPr>
      <w:r>
        <w:rPr>
          <w:color w:val="auto"/>
          <w:szCs w:val="21"/>
          <w:highlight w:val="none"/>
        </w:rPr>
        <w:t>“</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r>
        <w:rPr>
          <w:color w:val="auto"/>
          <w:szCs w:val="21"/>
          <w:highlight w:val="none"/>
          <w:u w:val="single"/>
        </w:rPr>
        <w:t xml:space="preserve">   </w:t>
      </w:r>
      <w:r>
        <w:rPr>
          <w:color w:val="auto"/>
          <w:szCs w:val="21"/>
          <w:highlight w:val="none"/>
        </w:rPr>
        <w:t>时（北京时间）评比，此时间以前不得开启”的字样并加盖评比供应商公章</w:t>
      </w:r>
    </w:p>
    <w:p>
      <w:pPr>
        <w:adjustRightInd w:val="0"/>
        <w:snapToGrid w:val="0"/>
        <w:spacing w:line="440" w:lineRule="exact"/>
        <w:ind w:left="420" w:hanging="420" w:hangingChars="200"/>
        <w:rPr>
          <w:color w:val="auto"/>
          <w:szCs w:val="21"/>
          <w:highlight w:val="none"/>
        </w:rPr>
      </w:pPr>
      <w:r>
        <w:rPr>
          <w:color w:val="auto"/>
          <w:szCs w:val="21"/>
          <w:highlight w:val="none"/>
        </w:rPr>
        <w:t>14.3除了按本须知第</w:t>
      </w:r>
      <w:r>
        <w:rPr>
          <w:color w:val="auto"/>
          <w:szCs w:val="21"/>
          <w:highlight w:val="none"/>
          <w:u w:val="single"/>
        </w:rPr>
        <w:t>14.2</w:t>
      </w:r>
      <w:r>
        <w:rPr>
          <w:color w:val="auto"/>
          <w:szCs w:val="21"/>
          <w:highlight w:val="none"/>
        </w:rPr>
        <w:t>款所要求的识别字样外，在最外层封套上还应写明供应商的名称与地址、邮政编码，以便本须知第</w:t>
      </w:r>
      <w:r>
        <w:rPr>
          <w:color w:val="auto"/>
          <w:szCs w:val="21"/>
          <w:highlight w:val="none"/>
          <w:u w:val="single"/>
        </w:rPr>
        <w:t>16</w:t>
      </w:r>
      <w:r>
        <w:rPr>
          <w:color w:val="auto"/>
          <w:szCs w:val="21"/>
          <w:highlight w:val="none"/>
        </w:rPr>
        <w:t>条规定情况发生时，评比机构可按上面标明的评比供应商地址将评比响应文件原封退回。</w:t>
      </w:r>
    </w:p>
    <w:p>
      <w:pPr>
        <w:adjustRightInd w:val="0"/>
        <w:snapToGrid w:val="0"/>
        <w:spacing w:line="440" w:lineRule="exact"/>
        <w:ind w:left="420" w:hanging="420" w:hangingChars="200"/>
        <w:rPr>
          <w:color w:val="auto"/>
          <w:szCs w:val="21"/>
          <w:highlight w:val="none"/>
        </w:rPr>
      </w:pPr>
      <w:r>
        <w:rPr>
          <w:color w:val="auto"/>
          <w:szCs w:val="21"/>
          <w:highlight w:val="none"/>
        </w:rPr>
        <w:t>14.4如果评比响应文件没有按本须知第</w:t>
      </w:r>
      <w:r>
        <w:rPr>
          <w:color w:val="auto"/>
          <w:szCs w:val="21"/>
          <w:highlight w:val="none"/>
          <w:u w:val="single"/>
        </w:rPr>
        <w:t>14</w:t>
      </w:r>
      <w:r>
        <w:rPr>
          <w:color w:val="auto"/>
          <w:szCs w:val="21"/>
          <w:highlight w:val="none"/>
        </w:rPr>
        <w:t>条的有关规定进行标记和密封，采购人将不承担评比响应文件错放或提前开封的责任。</w:t>
      </w:r>
    </w:p>
    <w:p>
      <w:pPr>
        <w:adjustRightInd w:val="0"/>
        <w:snapToGrid w:val="0"/>
        <w:spacing w:line="440" w:lineRule="exact"/>
        <w:rPr>
          <w:b/>
          <w:bCs/>
          <w:color w:val="auto"/>
          <w:szCs w:val="21"/>
          <w:highlight w:val="none"/>
        </w:rPr>
      </w:pPr>
      <w:r>
        <w:rPr>
          <w:b/>
          <w:bCs/>
          <w:color w:val="auto"/>
          <w:szCs w:val="21"/>
          <w:highlight w:val="none"/>
        </w:rPr>
        <w:t>15.  评比响应文件的递交</w:t>
      </w:r>
    </w:p>
    <w:p>
      <w:pPr>
        <w:adjustRightInd w:val="0"/>
        <w:snapToGrid w:val="0"/>
        <w:spacing w:line="440" w:lineRule="exact"/>
        <w:ind w:left="525" w:hanging="525" w:hangingChars="250"/>
        <w:rPr>
          <w:color w:val="auto"/>
          <w:szCs w:val="21"/>
          <w:highlight w:val="none"/>
        </w:rPr>
      </w:pPr>
      <w:r>
        <w:rPr>
          <w:color w:val="auto"/>
          <w:szCs w:val="21"/>
          <w:highlight w:val="none"/>
        </w:rPr>
        <w:t>15.1评比供应商必须按评比邀请书和本须知前附表第</w:t>
      </w:r>
      <w:r>
        <w:rPr>
          <w:color w:val="auto"/>
          <w:szCs w:val="21"/>
          <w:highlight w:val="none"/>
          <w:u w:val="single"/>
        </w:rPr>
        <w:t>10</w:t>
      </w:r>
      <w:r>
        <w:rPr>
          <w:color w:val="auto"/>
          <w:szCs w:val="21"/>
          <w:highlight w:val="none"/>
        </w:rPr>
        <w:t>条中规定的地点，在规定的时间内将评比响应文件送达。</w:t>
      </w:r>
    </w:p>
    <w:p>
      <w:pPr>
        <w:pStyle w:val="22"/>
        <w:rPr>
          <w:rFonts w:ascii="Times New Roman" w:hAnsi="Times New Roman"/>
          <w:color w:val="auto"/>
          <w:sz w:val="21"/>
          <w:szCs w:val="21"/>
          <w:highlight w:val="none"/>
        </w:rPr>
      </w:pPr>
      <w:r>
        <w:rPr>
          <w:rFonts w:ascii="Times New Roman" w:hAnsi="Times New Roman"/>
          <w:color w:val="auto"/>
          <w:sz w:val="21"/>
          <w:szCs w:val="21"/>
          <w:highlight w:val="none"/>
        </w:rPr>
        <w:t>15.2如果评比响应文件通过邮寄递交，评比供应商应将评比响应文件用内、外两层信封密封。</w:t>
      </w:r>
    </w:p>
    <w:p>
      <w:pPr>
        <w:adjustRightInd w:val="0"/>
        <w:snapToGrid w:val="0"/>
        <w:spacing w:line="440" w:lineRule="exact"/>
        <w:ind w:left="525" w:hanging="525" w:hangingChars="250"/>
        <w:rPr>
          <w:color w:val="auto"/>
          <w:szCs w:val="21"/>
          <w:highlight w:val="none"/>
        </w:rPr>
      </w:pPr>
      <w:r>
        <w:rPr>
          <w:color w:val="auto"/>
          <w:szCs w:val="21"/>
          <w:highlight w:val="none"/>
        </w:rPr>
        <w:t>15.3如果未按上述14款规定进行密封和标记，采购代理机构对评比响应文件误投、丢失或提前拆封不负责任。</w:t>
      </w:r>
    </w:p>
    <w:p>
      <w:pPr>
        <w:adjustRightInd w:val="0"/>
        <w:snapToGrid w:val="0"/>
        <w:spacing w:line="440" w:lineRule="exact"/>
        <w:rPr>
          <w:b/>
          <w:bCs/>
          <w:color w:val="auto"/>
          <w:szCs w:val="21"/>
          <w:highlight w:val="none"/>
        </w:rPr>
      </w:pPr>
      <w:r>
        <w:rPr>
          <w:b/>
          <w:bCs/>
          <w:color w:val="auto"/>
          <w:szCs w:val="21"/>
          <w:highlight w:val="none"/>
        </w:rPr>
        <w:t>16.  迟到的评比响应文件</w:t>
      </w:r>
    </w:p>
    <w:p>
      <w:pPr>
        <w:adjustRightInd w:val="0"/>
        <w:snapToGrid w:val="0"/>
        <w:spacing w:line="440" w:lineRule="exact"/>
        <w:rPr>
          <w:color w:val="auto"/>
          <w:szCs w:val="21"/>
          <w:highlight w:val="none"/>
        </w:rPr>
      </w:pPr>
      <w:r>
        <w:rPr>
          <w:color w:val="auto"/>
          <w:szCs w:val="21"/>
          <w:highlight w:val="none"/>
        </w:rPr>
        <w:t>16.1采购人对于迟到的评比响应文件将不予接收，并退还评比供应商。</w:t>
      </w:r>
    </w:p>
    <w:p>
      <w:pPr>
        <w:adjustRightInd w:val="0"/>
        <w:snapToGrid w:val="0"/>
        <w:spacing w:line="440" w:lineRule="exact"/>
        <w:rPr>
          <w:b/>
          <w:bCs/>
          <w:color w:val="auto"/>
          <w:szCs w:val="21"/>
          <w:highlight w:val="none"/>
        </w:rPr>
      </w:pPr>
      <w:r>
        <w:rPr>
          <w:b/>
          <w:bCs/>
          <w:color w:val="auto"/>
          <w:szCs w:val="21"/>
          <w:highlight w:val="none"/>
        </w:rPr>
        <w:t>17.  评比响应文件的修改与撤回</w:t>
      </w:r>
    </w:p>
    <w:p>
      <w:pPr>
        <w:adjustRightInd w:val="0"/>
        <w:snapToGrid w:val="0"/>
        <w:spacing w:line="440" w:lineRule="exact"/>
        <w:ind w:left="420" w:hanging="420" w:hangingChars="200"/>
        <w:rPr>
          <w:color w:val="auto"/>
          <w:szCs w:val="21"/>
          <w:highlight w:val="none"/>
        </w:rPr>
      </w:pPr>
      <w:r>
        <w:rPr>
          <w:color w:val="auto"/>
          <w:szCs w:val="21"/>
          <w:highlight w:val="none"/>
        </w:rPr>
        <w:t>17.1评比供应商在递交评比响应文件以后，在规定的评比截止时间之前，可以书面形式向采购人递交请求修改其评比响应文件的通知。但在评比截止以后，不能修改评比响应文件。</w:t>
      </w:r>
    </w:p>
    <w:p>
      <w:pPr>
        <w:adjustRightInd w:val="0"/>
        <w:snapToGrid w:val="0"/>
        <w:spacing w:line="440" w:lineRule="exact"/>
        <w:ind w:left="420" w:hanging="420" w:hangingChars="200"/>
        <w:rPr>
          <w:color w:val="auto"/>
          <w:szCs w:val="21"/>
          <w:highlight w:val="none"/>
        </w:rPr>
      </w:pPr>
      <w:r>
        <w:rPr>
          <w:color w:val="auto"/>
          <w:szCs w:val="21"/>
          <w:highlight w:val="none"/>
        </w:rPr>
        <w:t>17.2评比供应商修改后的评比响应文件或撤回通知，应按本须知第</w:t>
      </w:r>
      <w:r>
        <w:rPr>
          <w:color w:val="auto"/>
          <w:szCs w:val="21"/>
          <w:highlight w:val="none"/>
          <w:u w:val="single"/>
        </w:rPr>
        <w:t>13</w:t>
      </w:r>
      <w:r>
        <w:rPr>
          <w:color w:val="auto"/>
          <w:szCs w:val="21"/>
          <w:highlight w:val="none"/>
        </w:rPr>
        <w:t>条和第</w:t>
      </w:r>
      <w:r>
        <w:rPr>
          <w:color w:val="auto"/>
          <w:szCs w:val="21"/>
          <w:highlight w:val="none"/>
          <w:u w:val="single"/>
        </w:rPr>
        <w:t>14</w:t>
      </w:r>
      <w:r>
        <w:rPr>
          <w:color w:val="auto"/>
          <w:szCs w:val="21"/>
          <w:highlight w:val="none"/>
        </w:rPr>
        <w:t>条的规定编制、签署、密封、标志和递交。</w:t>
      </w:r>
    </w:p>
    <w:p>
      <w:pPr>
        <w:adjustRightInd w:val="0"/>
        <w:snapToGrid w:val="0"/>
        <w:spacing w:line="440" w:lineRule="exact"/>
        <w:ind w:left="420" w:hanging="420" w:hangingChars="200"/>
        <w:rPr>
          <w:color w:val="auto"/>
          <w:szCs w:val="21"/>
          <w:highlight w:val="none"/>
        </w:rPr>
      </w:pPr>
      <w:r>
        <w:rPr>
          <w:color w:val="auto"/>
          <w:szCs w:val="21"/>
          <w:highlight w:val="none"/>
        </w:rPr>
        <w:t>17.3根据本须知第</w:t>
      </w:r>
      <w:r>
        <w:rPr>
          <w:color w:val="auto"/>
          <w:szCs w:val="21"/>
          <w:highlight w:val="none"/>
          <w:u w:val="single"/>
        </w:rPr>
        <w:t>12.6</w:t>
      </w:r>
      <w:r>
        <w:rPr>
          <w:color w:val="auto"/>
          <w:szCs w:val="21"/>
          <w:highlight w:val="none"/>
        </w:rPr>
        <w:t>款的规定，在评比截止时间与评比文件中规定的评比有效期终止日之间的这段时间内，评比供应商不能撤回评比响应文件，否则其评比保证金将被没收。</w:t>
      </w:r>
    </w:p>
    <w:p>
      <w:pPr>
        <w:adjustRightInd w:val="0"/>
        <w:snapToGrid w:val="0"/>
        <w:spacing w:line="440" w:lineRule="exact"/>
        <w:ind w:left="420" w:hanging="420" w:hangingChars="200"/>
        <w:rPr>
          <w:color w:val="auto"/>
          <w:szCs w:val="21"/>
          <w:highlight w:val="none"/>
        </w:rPr>
      </w:pPr>
    </w:p>
    <w:p>
      <w:pPr>
        <w:pStyle w:val="3"/>
        <w:spacing w:line="440" w:lineRule="exact"/>
        <w:rPr>
          <w:rFonts w:ascii="Times New Roman" w:hAnsi="Times New Roman" w:eastAsia="宋体"/>
          <w:color w:val="auto"/>
          <w:sz w:val="28"/>
          <w:szCs w:val="28"/>
          <w:highlight w:val="none"/>
        </w:rPr>
      </w:pPr>
      <w:bookmarkStart w:id="33" w:name="_Toc24455234"/>
      <w:bookmarkStart w:id="34" w:name="_Toc24083814"/>
      <w:bookmarkStart w:id="35" w:name="_Toc68963465"/>
      <w:bookmarkStart w:id="36" w:name="_Toc33340839"/>
      <w:bookmarkStart w:id="37" w:name="_Toc10213431"/>
      <w:r>
        <w:rPr>
          <w:rFonts w:ascii="Times New Roman" w:hAnsi="Times New Roman" w:eastAsia="宋体"/>
          <w:color w:val="auto"/>
          <w:sz w:val="28"/>
          <w:szCs w:val="28"/>
          <w:highlight w:val="none"/>
        </w:rPr>
        <w:t>五、评比与评</w:t>
      </w:r>
      <w:bookmarkEnd w:id="33"/>
      <w:bookmarkEnd w:id="34"/>
      <w:bookmarkEnd w:id="35"/>
      <w:bookmarkEnd w:id="36"/>
      <w:r>
        <w:rPr>
          <w:rFonts w:ascii="Times New Roman" w:hAnsi="Times New Roman" w:eastAsia="宋体"/>
          <w:color w:val="auto"/>
          <w:sz w:val="28"/>
          <w:szCs w:val="28"/>
          <w:highlight w:val="none"/>
        </w:rPr>
        <w:t>审</w:t>
      </w:r>
      <w:bookmarkEnd w:id="37"/>
    </w:p>
    <w:p>
      <w:pPr>
        <w:adjustRightInd w:val="0"/>
        <w:snapToGrid w:val="0"/>
        <w:spacing w:line="440" w:lineRule="exact"/>
        <w:rPr>
          <w:b/>
          <w:bCs/>
          <w:color w:val="auto"/>
          <w:szCs w:val="21"/>
          <w:highlight w:val="none"/>
        </w:rPr>
      </w:pPr>
      <w:r>
        <w:rPr>
          <w:b/>
          <w:bCs/>
          <w:color w:val="auto"/>
          <w:szCs w:val="21"/>
          <w:highlight w:val="none"/>
        </w:rPr>
        <w:t>18.  评比</w:t>
      </w:r>
    </w:p>
    <w:p>
      <w:pPr>
        <w:adjustRightInd w:val="0"/>
        <w:snapToGrid w:val="0"/>
        <w:spacing w:line="440" w:lineRule="exact"/>
        <w:rPr>
          <w:color w:val="auto"/>
          <w:szCs w:val="21"/>
          <w:highlight w:val="none"/>
        </w:rPr>
      </w:pPr>
      <w:r>
        <w:rPr>
          <w:color w:val="auto"/>
          <w:szCs w:val="21"/>
          <w:highlight w:val="none"/>
        </w:rPr>
        <w:t>18.1代理机构将按照评比邀请书及本须知前附表中规定的时间和地点举行评比会议。</w:t>
      </w:r>
    </w:p>
    <w:p>
      <w:pPr>
        <w:adjustRightInd w:val="0"/>
        <w:snapToGrid w:val="0"/>
        <w:spacing w:line="440" w:lineRule="exact"/>
        <w:ind w:left="420" w:hanging="420" w:hangingChars="200"/>
        <w:rPr>
          <w:color w:val="auto"/>
          <w:szCs w:val="21"/>
          <w:highlight w:val="none"/>
        </w:rPr>
      </w:pPr>
      <w:r>
        <w:rPr>
          <w:color w:val="auto"/>
          <w:szCs w:val="21"/>
          <w:highlight w:val="none"/>
        </w:rPr>
        <w:t>18.2评比会议将邀请所有评比供应商参加，评比当天评比供应商代表应签名报到，以证明其出席评比会议。评比供应商通过邮寄方式递交的响应文件或未派代表出席评比会议的，将视为默认评比结果。</w:t>
      </w:r>
    </w:p>
    <w:p>
      <w:pPr>
        <w:adjustRightInd w:val="0"/>
        <w:snapToGrid w:val="0"/>
        <w:spacing w:line="440" w:lineRule="exact"/>
        <w:rPr>
          <w:color w:val="auto"/>
          <w:szCs w:val="21"/>
          <w:highlight w:val="none"/>
        </w:rPr>
      </w:pPr>
      <w:r>
        <w:rPr>
          <w:color w:val="auto"/>
          <w:szCs w:val="21"/>
          <w:highlight w:val="none"/>
        </w:rPr>
        <w:t>18.3按规定提交合格的撤回通知的评比响应文件不予开封，并退回给评比供应商。</w:t>
      </w:r>
    </w:p>
    <w:p>
      <w:pPr>
        <w:adjustRightInd w:val="0"/>
        <w:snapToGrid w:val="0"/>
        <w:spacing w:line="440" w:lineRule="exact"/>
        <w:ind w:firstLine="420" w:firstLineChars="200"/>
        <w:rPr>
          <w:color w:val="auto"/>
          <w:szCs w:val="21"/>
          <w:highlight w:val="none"/>
        </w:rPr>
      </w:pPr>
      <w:r>
        <w:rPr>
          <w:color w:val="auto"/>
          <w:szCs w:val="21"/>
          <w:highlight w:val="none"/>
        </w:rPr>
        <w:t xml:space="preserve">评比响应文件有下列情况之一的，采购人不予接受： </w:t>
      </w:r>
    </w:p>
    <w:p>
      <w:pPr>
        <w:adjustRightInd w:val="0"/>
        <w:snapToGrid w:val="0"/>
        <w:spacing w:line="440" w:lineRule="exact"/>
        <w:ind w:firstLine="420" w:firstLineChars="200"/>
        <w:rPr>
          <w:color w:val="auto"/>
          <w:szCs w:val="21"/>
          <w:highlight w:val="none"/>
        </w:rPr>
      </w:pPr>
      <w:r>
        <w:rPr>
          <w:color w:val="auto"/>
          <w:szCs w:val="21"/>
          <w:highlight w:val="none"/>
        </w:rPr>
        <w:t>1）评比响应文件逾期送达的；</w:t>
      </w:r>
    </w:p>
    <w:p>
      <w:pPr>
        <w:adjustRightInd w:val="0"/>
        <w:snapToGrid w:val="0"/>
        <w:spacing w:line="440" w:lineRule="exact"/>
        <w:ind w:firstLine="420" w:firstLineChars="200"/>
        <w:rPr>
          <w:color w:val="auto"/>
          <w:szCs w:val="21"/>
          <w:highlight w:val="none"/>
        </w:rPr>
      </w:pPr>
      <w:r>
        <w:rPr>
          <w:color w:val="auto"/>
          <w:szCs w:val="21"/>
          <w:highlight w:val="none"/>
        </w:rPr>
        <w:t>2）评比响应文件未进行密封的。</w:t>
      </w:r>
    </w:p>
    <w:p>
      <w:pPr>
        <w:adjustRightInd w:val="0"/>
        <w:snapToGrid w:val="0"/>
        <w:spacing w:line="440" w:lineRule="exact"/>
        <w:rPr>
          <w:color w:val="auto"/>
          <w:szCs w:val="21"/>
          <w:highlight w:val="none"/>
        </w:rPr>
      </w:pPr>
      <w:r>
        <w:rPr>
          <w:color w:val="auto"/>
          <w:szCs w:val="21"/>
          <w:highlight w:val="none"/>
        </w:rPr>
        <w:t>18.4评比程序：</w:t>
      </w:r>
    </w:p>
    <w:p>
      <w:pPr>
        <w:numPr>
          <w:ilvl w:val="0"/>
          <w:numId w:val="9"/>
        </w:numPr>
        <w:adjustRightInd w:val="0"/>
        <w:snapToGrid w:val="0"/>
        <w:spacing w:line="440" w:lineRule="exact"/>
        <w:rPr>
          <w:color w:val="auto"/>
          <w:szCs w:val="21"/>
          <w:highlight w:val="none"/>
        </w:rPr>
      </w:pPr>
      <w:r>
        <w:rPr>
          <w:color w:val="auto"/>
          <w:szCs w:val="21"/>
          <w:highlight w:val="none"/>
        </w:rPr>
        <w:t>评比会议将由代理机构组织并主持；</w:t>
      </w:r>
    </w:p>
    <w:p>
      <w:pPr>
        <w:numPr>
          <w:ilvl w:val="0"/>
          <w:numId w:val="9"/>
        </w:numPr>
        <w:adjustRightInd w:val="0"/>
        <w:snapToGrid w:val="0"/>
        <w:spacing w:line="440" w:lineRule="exact"/>
        <w:rPr>
          <w:color w:val="auto"/>
          <w:szCs w:val="21"/>
          <w:highlight w:val="none"/>
        </w:rPr>
      </w:pPr>
      <w:r>
        <w:rPr>
          <w:color w:val="auto"/>
          <w:szCs w:val="21"/>
          <w:highlight w:val="none"/>
        </w:rPr>
        <w:t>评比供应商代表或公证监督机构将检查评比响应文件的密封情况；</w:t>
      </w:r>
    </w:p>
    <w:p>
      <w:pPr>
        <w:numPr>
          <w:ilvl w:val="0"/>
          <w:numId w:val="9"/>
        </w:numPr>
        <w:adjustRightInd w:val="0"/>
        <w:snapToGrid w:val="0"/>
        <w:spacing w:line="440" w:lineRule="exact"/>
        <w:rPr>
          <w:color w:val="auto"/>
          <w:szCs w:val="21"/>
          <w:highlight w:val="none"/>
        </w:rPr>
      </w:pPr>
      <w:r>
        <w:rPr>
          <w:color w:val="auto"/>
          <w:szCs w:val="21"/>
          <w:highlight w:val="none"/>
        </w:rPr>
        <w:t>经确认无误，由工作人员当众拆封，宣读评比供应商名称、评比报价、修改内容（如有）以及采购人认为适当的其他内容；</w:t>
      </w:r>
    </w:p>
    <w:p>
      <w:pPr>
        <w:adjustRightInd w:val="0"/>
        <w:snapToGrid w:val="0"/>
        <w:spacing w:line="440" w:lineRule="exact"/>
        <w:ind w:left="-420" w:firstLine="840" w:firstLineChars="400"/>
        <w:rPr>
          <w:color w:val="auto"/>
          <w:szCs w:val="21"/>
          <w:highlight w:val="none"/>
        </w:rPr>
      </w:pPr>
      <w:r>
        <w:rPr>
          <w:color w:val="auto"/>
          <w:szCs w:val="21"/>
          <w:highlight w:val="none"/>
        </w:rPr>
        <w:t>4）按规定提交合格撤回通知的评比响应文件不予开封；</w:t>
      </w:r>
    </w:p>
    <w:p>
      <w:pPr>
        <w:adjustRightInd w:val="0"/>
        <w:snapToGrid w:val="0"/>
        <w:spacing w:line="440" w:lineRule="exact"/>
        <w:ind w:left="-420" w:firstLine="840" w:firstLineChars="400"/>
        <w:rPr>
          <w:color w:val="auto"/>
          <w:szCs w:val="21"/>
          <w:highlight w:val="none"/>
        </w:rPr>
      </w:pPr>
      <w:r>
        <w:rPr>
          <w:color w:val="auto"/>
          <w:szCs w:val="21"/>
          <w:highlight w:val="none"/>
        </w:rPr>
        <w:t>5）由代理机构整理评比记录并由评比供应商代表现场签字确认。</w:t>
      </w:r>
    </w:p>
    <w:p>
      <w:pPr>
        <w:adjustRightInd w:val="0"/>
        <w:snapToGrid w:val="0"/>
        <w:spacing w:line="440" w:lineRule="exact"/>
        <w:rPr>
          <w:b/>
          <w:bCs/>
          <w:color w:val="auto"/>
          <w:szCs w:val="21"/>
          <w:highlight w:val="none"/>
        </w:rPr>
      </w:pPr>
      <w:r>
        <w:rPr>
          <w:b/>
          <w:bCs/>
          <w:color w:val="auto"/>
          <w:szCs w:val="21"/>
          <w:highlight w:val="none"/>
        </w:rPr>
        <w:t>19.  评审委员会与评审</w:t>
      </w:r>
    </w:p>
    <w:p>
      <w:pPr>
        <w:adjustRightInd w:val="0"/>
        <w:snapToGrid w:val="0"/>
        <w:spacing w:line="440" w:lineRule="exact"/>
        <w:ind w:left="420" w:hanging="420" w:hangingChars="200"/>
        <w:rPr>
          <w:color w:val="auto"/>
          <w:szCs w:val="21"/>
          <w:highlight w:val="none"/>
        </w:rPr>
      </w:pPr>
      <w:r>
        <w:rPr>
          <w:color w:val="auto"/>
          <w:szCs w:val="21"/>
          <w:highlight w:val="none"/>
        </w:rPr>
        <w:t>19.1代理机构将按照采购人相关管理办法组建评审委员会。</w:t>
      </w:r>
    </w:p>
    <w:p>
      <w:pPr>
        <w:adjustRightInd w:val="0"/>
        <w:snapToGrid w:val="0"/>
        <w:spacing w:line="440" w:lineRule="exact"/>
        <w:ind w:left="525" w:hanging="525" w:hangingChars="250"/>
        <w:rPr>
          <w:color w:val="auto"/>
          <w:szCs w:val="21"/>
          <w:highlight w:val="none"/>
        </w:rPr>
      </w:pPr>
      <w:r>
        <w:rPr>
          <w:color w:val="auto"/>
          <w:szCs w:val="21"/>
          <w:highlight w:val="none"/>
        </w:rPr>
        <w:t>19.2评审由评审委员会负责，对所有评比响应文件的评估都将采用相同的程序和标准。</w:t>
      </w:r>
    </w:p>
    <w:p>
      <w:pPr>
        <w:adjustRightInd w:val="0"/>
        <w:snapToGrid w:val="0"/>
        <w:spacing w:line="440" w:lineRule="exact"/>
        <w:rPr>
          <w:b/>
          <w:bCs/>
          <w:color w:val="auto"/>
          <w:szCs w:val="21"/>
          <w:highlight w:val="none"/>
        </w:rPr>
      </w:pPr>
      <w:r>
        <w:rPr>
          <w:b/>
          <w:bCs/>
          <w:color w:val="auto"/>
          <w:szCs w:val="21"/>
          <w:highlight w:val="none"/>
        </w:rPr>
        <w:t>20.  初步审查</w:t>
      </w:r>
    </w:p>
    <w:p>
      <w:pPr>
        <w:pStyle w:val="11"/>
        <w:adjustRightInd w:val="0"/>
        <w:snapToGrid w:val="0"/>
        <w:spacing w:line="440" w:lineRule="exact"/>
        <w:ind w:firstLine="0" w:firstLineChars="0"/>
        <w:rPr>
          <w:color w:val="auto"/>
          <w:highlight w:val="none"/>
        </w:rPr>
      </w:pPr>
      <w:r>
        <w:rPr>
          <w:b/>
          <w:bCs/>
          <w:color w:val="auto"/>
          <w:szCs w:val="21"/>
          <w:highlight w:val="none"/>
        </w:rPr>
        <w:t>20.1资格性审查</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693"/>
        <w:gridCol w:w="5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3402" w:type="dxa"/>
            <w:gridSpan w:val="2"/>
            <w:vAlign w:val="center"/>
          </w:tcPr>
          <w:p>
            <w:pPr>
              <w:adjustRightInd w:val="0"/>
              <w:snapToGrid w:val="0"/>
              <w:spacing w:line="440" w:lineRule="exact"/>
              <w:jc w:val="center"/>
              <w:rPr>
                <w:b/>
                <w:color w:val="auto"/>
                <w:kern w:val="0"/>
                <w:szCs w:val="21"/>
                <w:highlight w:val="none"/>
              </w:rPr>
            </w:pPr>
            <w:r>
              <w:rPr>
                <w:b/>
                <w:color w:val="auto"/>
                <w:kern w:val="0"/>
                <w:szCs w:val="21"/>
                <w:highlight w:val="none"/>
              </w:rPr>
              <w:t>检查因素</w:t>
            </w:r>
          </w:p>
        </w:tc>
        <w:tc>
          <w:tcPr>
            <w:tcW w:w="5958" w:type="dxa"/>
            <w:vAlign w:val="center"/>
          </w:tcPr>
          <w:p>
            <w:pPr>
              <w:adjustRightInd w:val="0"/>
              <w:snapToGrid w:val="0"/>
              <w:spacing w:line="440" w:lineRule="exact"/>
              <w:jc w:val="center"/>
              <w:rPr>
                <w:b/>
                <w:color w:val="auto"/>
                <w:kern w:val="0"/>
                <w:szCs w:val="21"/>
                <w:highlight w:val="none"/>
              </w:rPr>
            </w:pPr>
            <w:r>
              <w:rPr>
                <w:b/>
                <w:color w:val="auto"/>
                <w:kern w:val="0"/>
                <w:szCs w:val="21"/>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709" w:type="dxa"/>
            <w:vMerge w:val="restart"/>
            <w:vAlign w:val="center"/>
          </w:tcPr>
          <w:p>
            <w:pPr>
              <w:adjustRightInd w:val="0"/>
              <w:snapToGrid w:val="0"/>
              <w:spacing w:line="440" w:lineRule="exact"/>
              <w:rPr>
                <w:color w:val="auto"/>
                <w:szCs w:val="21"/>
                <w:highlight w:val="none"/>
              </w:rPr>
            </w:pPr>
            <w:r>
              <w:rPr>
                <w:color w:val="auto"/>
                <w:szCs w:val="21"/>
                <w:highlight w:val="none"/>
              </w:rPr>
              <w:t>《中华人民共和国政府采购法》第二十二条规定</w:t>
            </w:r>
          </w:p>
        </w:tc>
        <w:tc>
          <w:tcPr>
            <w:tcW w:w="2693" w:type="dxa"/>
            <w:vAlign w:val="center"/>
          </w:tcPr>
          <w:p>
            <w:pPr>
              <w:adjustRightInd w:val="0"/>
              <w:snapToGrid w:val="0"/>
              <w:spacing w:line="440" w:lineRule="exact"/>
              <w:rPr>
                <w:color w:val="auto"/>
                <w:szCs w:val="21"/>
                <w:highlight w:val="none"/>
              </w:rPr>
            </w:pPr>
            <w:r>
              <w:rPr>
                <w:color w:val="auto"/>
                <w:szCs w:val="21"/>
                <w:highlight w:val="none"/>
              </w:rPr>
              <w:t>1.具有独立承担民事责任的能力</w:t>
            </w:r>
          </w:p>
        </w:tc>
        <w:tc>
          <w:tcPr>
            <w:tcW w:w="5958" w:type="dxa"/>
            <w:vAlign w:val="center"/>
          </w:tcPr>
          <w:p>
            <w:pPr>
              <w:adjustRightInd w:val="0"/>
              <w:snapToGrid w:val="0"/>
              <w:spacing w:line="440" w:lineRule="exact"/>
              <w:rPr>
                <w:color w:val="auto"/>
                <w:szCs w:val="21"/>
                <w:highlight w:val="none"/>
              </w:rPr>
            </w:pPr>
            <w:r>
              <w:rPr>
                <w:color w:val="auto"/>
                <w:szCs w:val="21"/>
                <w:highlight w:val="none"/>
              </w:rPr>
              <w:t xml:space="preserve">1.供应商法人营业执照（副本）或事业单位法人证书（副本）或个体工商户营业执照或有效的自然人身份证明或社会团体法人登记证书（提供复印件）。 </w:t>
            </w:r>
          </w:p>
          <w:p>
            <w:pPr>
              <w:adjustRightInd w:val="0"/>
              <w:snapToGrid w:val="0"/>
              <w:spacing w:line="440" w:lineRule="exact"/>
              <w:rPr>
                <w:color w:val="auto"/>
                <w:szCs w:val="21"/>
                <w:highlight w:val="none"/>
              </w:rPr>
            </w:pPr>
            <w:r>
              <w:rPr>
                <w:color w:val="auto"/>
                <w:szCs w:val="21"/>
                <w:highlight w:val="none"/>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709" w:type="dxa"/>
            <w:vMerge w:val="continue"/>
            <w:vAlign w:val="center"/>
          </w:tcPr>
          <w:p>
            <w:pPr>
              <w:adjustRightInd w:val="0"/>
              <w:snapToGrid w:val="0"/>
              <w:spacing w:line="440" w:lineRule="exact"/>
              <w:rPr>
                <w:color w:val="auto"/>
                <w:szCs w:val="21"/>
                <w:highlight w:val="none"/>
              </w:rPr>
            </w:pPr>
          </w:p>
        </w:tc>
        <w:tc>
          <w:tcPr>
            <w:tcW w:w="2693" w:type="dxa"/>
            <w:vAlign w:val="center"/>
          </w:tcPr>
          <w:p>
            <w:pPr>
              <w:adjustRightInd w:val="0"/>
              <w:snapToGrid w:val="0"/>
              <w:spacing w:line="440" w:lineRule="exact"/>
              <w:rPr>
                <w:color w:val="auto"/>
                <w:szCs w:val="21"/>
                <w:highlight w:val="none"/>
              </w:rPr>
            </w:pPr>
            <w:r>
              <w:rPr>
                <w:color w:val="auto"/>
                <w:szCs w:val="21"/>
                <w:highlight w:val="none"/>
              </w:rPr>
              <w:t>2.具有良好的商业信誉和健全的财务会计制度</w:t>
            </w:r>
          </w:p>
        </w:tc>
        <w:tc>
          <w:tcPr>
            <w:tcW w:w="5958" w:type="dxa"/>
            <w:vMerge w:val="restart"/>
            <w:vAlign w:val="center"/>
          </w:tcPr>
          <w:p>
            <w:pPr>
              <w:adjustRightInd w:val="0"/>
              <w:snapToGrid w:val="0"/>
              <w:spacing w:line="440" w:lineRule="exact"/>
              <w:rPr>
                <w:color w:val="auto"/>
                <w:szCs w:val="21"/>
                <w:highlight w:val="none"/>
              </w:rPr>
            </w:pPr>
          </w:p>
          <w:p>
            <w:pPr>
              <w:adjustRightInd w:val="0"/>
              <w:snapToGrid w:val="0"/>
              <w:spacing w:line="440" w:lineRule="exact"/>
              <w:rPr>
                <w:rFonts w:hint="default" w:ascii="Times New Roman" w:hAnsi="Times New Roman" w:eastAsia="宋体"/>
                <w:color w:val="auto"/>
                <w:sz w:val="21"/>
                <w:szCs w:val="21"/>
                <w:highlight w:val="none"/>
              </w:rPr>
            </w:pPr>
            <w:r>
              <w:rPr>
                <w:rFonts w:hint="default" w:ascii="Times New Roman" w:hAnsi="Times New Roman" w:eastAsia="宋体"/>
                <w:color w:val="auto"/>
                <w:sz w:val="21"/>
                <w:szCs w:val="21"/>
                <w:highlight w:val="none"/>
              </w:rPr>
              <w:t>提供基本资格条件承诺函（见格式文件）</w:t>
            </w:r>
          </w:p>
          <w:p>
            <w:pPr>
              <w:adjustRightInd w:val="0"/>
              <w:snapToGrid w:val="0"/>
              <w:spacing w:line="440" w:lineRule="exact"/>
              <w:rPr>
                <w:color w:val="auto"/>
                <w:szCs w:val="21"/>
                <w:highlight w:val="none"/>
              </w:rPr>
            </w:pPr>
          </w:p>
          <w:p>
            <w:pPr>
              <w:adjustRightInd w:val="0"/>
              <w:snapToGrid w:val="0"/>
              <w:spacing w:line="440" w:lineRule="exact"/>
              <w:rPr>
                <w:color w:val="auto"/>
                <w:szCs w:val="21"/>
                <w:highlight w:val="none"/>
              </w:rPr>
            </w:pPr>
          </w:p>
          <w:p>
            <w:pPr>
              <w:adjustRightInd w:val="0"/>
              <w:snapToGrid w:val="0"/>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709" w:type="dxa"/>
            <w:vMerge w:val="continue"/>
            <w:vAlign w:val="center"/>
          </w:tcPr>
          <w:p>
            <w:pPr>
              <w:adjustRightInd w:val="0"/>
              <w:snapToGrid w:val="0"/>
              <w:spacing w:line="440" w:lineRule="exact"/>
              <w:rPr>
                <w:color w:val="auto"/>
                <w:szCs w:val="21"/>
                <w:highlight w:val="none"/>
              </w:rPr>
            </w:pPr>
          </w:p>
        </w:tc>
        <w:tc>
          <w:tcPr>
            <w:tcW w:w="2693" w:type="dxa"/>
            <w:vAlign w:val="center"/>
          </w:tcPr>
          <w:p>
            <w:pPr>
              <w:adjustRightInd w:val="0"/>
              <w:snapToGrid w:val="0"/>
              <w:spacing w:line="440" w:lineRule="exact"/>
              <w:rPr>
                <w:color w:val="auto"/>
                <w:szCs w:val="21"/>
                <w:highlight w:val="none"/>
              </w:rPr>
            </w:pPr>
            <w:r>
              <w:rPr>
                <w:color w:val="auto"/>
                <w:szCs w:val="21"/>
                <w:highlight w:val="none"/>
              </w:rPr>
              <w:t>3.具有履行合同所必需的设备和专业技术能力</w:t>
            </w:r>
          </w:p>
        </w:tc>
        <w:tc>
          <w:tcPr>
            <w:tcW w:w="5958" w:type="dxa"/>
            <w:vMerge w:val="continue"/>
            <w:vAlign w:val="center"/>
          </w:tcPr>
          <w:p>
            <w:pPr>
              <w:adjustRightInd w:val="0"/>
              <w:snapToGrid w:val="0"/>
              <w:spacing w:line="440" w:lineRule="exac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trPr>
        <w:tc>
          <w:tcPr>
            <w:tcW w:w="709" w:type="dxa"/>
            <w:vMerge w:val="continue"/>
            <w:vAlign w:val="center"/>
          </w:tcPr>
          <w:p>
            <w:pPr>
              <w:adjustRightInd w:val="0"/>
              <w:snapToGrid w:val="0"/>
              <w:spacing w:line="440" w:lineRule="exact"/>
              <w:rPr>
                <w:color w:val="auto"/>
                <w:szCs w:val="21"/>
                <w:highlight w:val="none"/>
              </w:rPr>
            </w:pPr>
          </w:p>
        </w:tc>
        <w:tc>
          <w:tcPr>
            <w:tcW w:w="2693" w:type="dxa"/>
            <w:vAlign w:val="center"/>
          </w:tcPr>
          <w:p>
            <w:pPr>
              <w:adjustRightInd w:val="0"/>
              <w:snapToGrid w:val="0"/>
              <w:spacing w:line="440" w:lineRule="exact"/>
              <w:rPr>
                <w:color w:val="auto"/>
                <w:szCs w:val="21"/>
                <w:highlight w:val="none"/>
              </w:rPr>
            </w:pPr>
            <w:r>
              <w:rPr>
                <w:color w:val="auto"/>
                <w:szCs w:val="21"/>
                <w:highlight w:val="none"/>
              </w:rPr>
              <w:t>4.有依法缴纳税                                                                                                                                                                                                                                                                                                                                                                                                                                                                                                                                                                                                                                                                                                                                                                                                                                                                                                                                                                                                                                                                                                                                                                                                                                                                                                                                                                                                                                                                                                                                                                                                                                                                                                                                                                                                                                                                                                                                                                                                                                                                                                                                                                                                                                                                                                                                                                                                                                                                                                                                                                                                                                                                                                                                                                                                                                                                                                                                                                                                                                                                                                                                                                                                                                                                                                                                                                                                                                                                                                                 收和社会保障金的良好记录</w:t>
            </w:r>
          </w:p>
        </w:tc>
        <w:tc>
          <w:tcPr>
            <w:tcW w:w="5958" w:type="dxa"/>
            <w:vMerge w:val="continue"/>
            <w:vAlign w:val="center"/>
          </w:tcPr>
          <w:p>
            <w:pPr>
              <w:adjustRightInd w:val="0"/>
              <w:snapToGrid w:val="0"/>
              <w:spacing w:line="440" w:lineRule="exac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709" w:type="dxa"/>
            <w:vMerge w:val="continue"/>
            <w:vAlign w:val="center"/>
          </w:tcPr>
          <w:p>
            <w:pPr>
              <w:adjustRightInd w:val="0"/>
              <w:snapToGrid w:val="0"/>
              <w:spacing w:line="440" w:lineRule="exact"/>
              <w:rPr>
                <w:color w:val="auto"/>
                <w:szCs w:val="21"/>
                <w:highlight w:val="none"/>
                <w:lang w:val="zh-CN"/>
              </w:rPr>
            </w:pPr>
          </w:p>
        </w:tc>
        <w:tc>
          <w:tcPr>
            <w:tcW w:w="2693" w:type="dxa"/>
            <w:vAlign w:val="center"/>
          </w:tcPr>
          <w:p>
            <w:pPr>
              <w:adjustRightInd w:val="0"/>
              <w:snapToGrid w:val="0"/>
              <w:spacing w:line="440" w:lineRule="exact"/>
              <w:rPr>
                <w:color w:val="auto"/>
                <w:szCs w:val="21"/>
                <w:highlight w:val="none"/>
              </w:rPr>
            </w:pPr>
            <w:r>
              <w:rPr>
                <w:color w:val="auto"/>
                <w:szCs w:val="21"/>
                <w:highlight w:val="none"/>
              </w:rPr>
              <w:t>5.参加政府采购活动前三年内，在经营活动中没有重大违法记录（注</w:t>
            </w:r>
            <w:r>
              <w:rPr>
                <w:rFonts w:hint="eastAsia" w:ascii="宋体" w:hAnsi="宋体" w:cs="宋体"/>
                <w:color w:val="auto"/>
                <w:szCs w:val="21"/>
                <w:highlight w:val="none"/>
              </w:rPr>
              <w:t>②</w:t>
            </w:r>
            <w:r>
              <w:rPr>
                <w:color w:val="auto"/>
                <w:szCs w:val="21"/>
                <w:highlight w:val="none"/>
              </w:rPr>
              <w:t>）</w:t>
            </w:r>
          </w:p>
        </w:tc>
        <w:tc>
          <w:tcPr>
            <w:tcW w:w="5958" w:type="dxa"/>
            <w:vMerge w:val="continue"/>
            <w:vAlign w:val="center"/>
          </w:tcPr>
          <w:p>
            <w:pPr>
              <w:adjustRightInd w:val="0"/>
              <w:snapToGrid w:val="0"/>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709" w:type="dxa"/>
            <w:vMerge w:val="continue"/>
            <w:vAlign w:val="center"/>
          </w:tcPr>
          <w:p>
            <w:pPr>
              <w:adjustRightInd w:val="0"/>
              <w:snapToGrid w:val="0"/>
              <w:spacing w:line="440" w:lineRule="exact"/>
              <w:rPr>
                <w:color w:val="auto"/>
                <w:szCs w:val="21"/>
                <w:highlight w:val="none"/>
              </w:rPr>
            </w:pPr>
          </w:p>
        </w:tc>
        <w:tc>
          <w:tcPr>
            <w:tcW w:w="2693" w:type="dxa"/>
            <w:vAlign w:val="center"/>
          </w:tcPr>
          <w:p>
            <w:pPr>
              <w:adjustRightInd w:val="0"/>
              <w:snapToGrid w:val="0"/>
              <w:spacing w:line="440" w:lineRule="exact"/>
              <w:rPr>
                <w:color w:val="auto"/>
                <w:szCs w:val="21"/>
                <w:highlight w:val="none"/>
              </w:rPr>
            </w:pPr>
            <w:r>
              <w:rPr>
                <w:color w:val="auto"/>
                <w:szCs w:val="21"/>
                <w:highlight w:val="none"/>
              </w:rPr>
              <w:t>6.法律、行政法规规定的其他条件</w:t>
            </w:r>
          </w:p>
        </w:tc>
        <w:tc>
          <w:tcPr>
            <w:tcW w:w="5958" w:type="dxa"/>
            <w:vAlign w:val="center"/>
          </w:tcPr>
          <w:p>
            <w:pPr>
              <w:adjustRightInd w:val="0"/>
              <w:snapToGrid w:val="0"/>
              <w:spacing w:line="440" w:lineRule="exac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3402" w:type="dxa"/>
            <w:gridSpan w:val="2"/>
            <w:vAlign w:val="center"/>
          </w:tcPr>
          <w:p>
            <w:pPr>
              <w:adjustRightInd w:val="0"/>
              <w:snapToGrid w:val="0"/>
              <w:spacing w:line="440" w:lineRule="exact"/>
              <w:rPr>
                <w:color w:val="auto"/>
                <w:szCs w:val="21"/>
                <w:highlight w:val="none"/>
              </w:rPr>
            </w:pPr>
            <w:r>
              <w:rPr>
                <w:color w:val="auto"/>
                <w:szCs w:val="21"/>
                <w:highlight w:val="none"/>
              </w:rPr>
              <w:t>本项目的特定资格要求</w:t>
            </w:r>
          </w:p>
        </w:tc>
        <w:tc>
          <w:tcPr>
            <w:tcW w:w="5958" w:type="dxa"/>
            <w:vAlign w:val="center"/>
          </w:tcPr>
          <w:p>
            <w:pPr>
              <w:adjustRightInd w:val="0"/>
              <w:snapToGrid w:val="0"/>
              <w:spacing w:line="440" w:lineRule="exact"/>
              <w:rPr>
                <w:color w:val="auto"/>
                <w:szCs w:val="21"/>
                <w:highlight w:val="none"/>
              </w:rPr>
            </w:pPr>
            <w:r>
              <w:rPr>
                <w:rFonts w:hint="eastAsia"/>
                <w:color w:val="auto"/>
                <w:szCs w:val="21"/>
                <w:highlight w:val="none"/>
                <w:lang w:val="en-US" w:eastAsia="zh-CN"/>
              </w:rPr>
              <w:t>无</w:t>
            </w:r>
            <w:r>
              <w:rPr>
                <w:color w:val="auto"/>
                <w:szCs w:val="21"/>
                <w:highlight w:val="none"/>
              </w:rPr>
              <w:t>。</w:t>
            </w:r>
          </w:p>
        </w:tc>
      </w:tr>
    </w:tbl>
    <w:p>
      <w:pPr>
        <w:numPr>
          <w:ilvl w:val="0"/>
          <w:numId w:val="10"/>
        </w:numPr>
        <w:adjustRightInd w:val="0"/>
        <w:snapToGrid w:val="0"/>
        <w:spacing w:line="440" w:lineRule="exact"/>
        <w:ind w:left="0"/>
        <w:rPr>
          <w:color w:val="auto"/>
          <w:kern w:val="0"/>
          <w:szCs w:val="21"/>
          <w:highlight w:val="none"/>
        </w:rPr>
      </w:pPr>
      <w:r>
        <w:rPr>
          <w:color w:val="auto"/>
          <w:kern w:val="0"/>
          <w:szCs w:val="21"/>
          <w:highlight w:val="none"/>
        </w:rPr>
        <w:t>供应商按“多证合一”登记制度办理营业执照的，税务登记证（副本）和社会保险登记证以投</w:t>
      </w:r>
    </w:p>
    <w:p>
      <w:pPr>
        <w:adjustRightInd w:val="0"/>
        <w:snapToGrid w:val="0"/>
        <w:spacing w:line="440" w:lineRule="exact"/>
        <w:rPr>
          <w:color w:val="auto"/>
          <w:kern w:val="0"/>
          <w:szCs w:val="21"/>
          <w:highlight w:val="none"/>
        </w:rPr>
      </w:pPr>
      <w:r>
        <w:rPr>
          <w:color w:val="auto"/>
          <w:kern w:val="0"/>
          <w:szCs w:val="21"/>
          <w:highlight w:val="none"/>
        </w:rPr>
        <w:t>标人所提供的营业执照（副本）复印件为准。</w:t>
      </w:r>
    </w:p>
    <w:p>
      <w:pPr>
        <w:adjustRightInd w:val="0"/>
        <w:snapToGrid w:val="0"/>
        <w:spacing w:line="440" w:lineRule="exact"/>
        <w:ind w:firstLine="420" w:firstLineChars="200"/>
        <w:rPr>
          <w:color w:val="auto"/>
          <w:kern w:val="0"/>
          <w:szCs w:val="21"/>
          <w:highlight w:val="none"/>
        </w:rPr>
      </w:pPr>
      <w:r>
        <w:rPr>
          <w:rFonts w:hint="eastAsia" w:ascii="宋体" w:hAnsi="宋体" w:cs="宋体"/>
          <w:color w:val="auto"/>
          <w:kern w:val="0"/>
          <w:szCs w:val="21"/>
          <w:highlight w:val="none"/>
        </w:rPr>
        <w:t>②</w:t>
      </w:r>
      <w:r>
        <w:rPr>
          <w:rFonts w:hint="default" w:ascii="Times New Roman" w:hAnsi="Times New Roman" w:eastAsia="宋体" w:cs="Times New Roman"/>
          <w:color w:val="auto"/>
          <w:kern w:val="0"/>
          <w:sz w:val="21"/>
          <w:szCs w:val="21"/>
          <w:highlight w:val="none"/>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w:t>
      </w:r>
      <w:r>
        <w:rPr>
          <w:color w:val="auto"/>
          <w:kern w:val="0"/>
          <w:szCs w:val="21"/>
          <w:highlight w:val="none"/>
        </w:rPr>
        <w:t>。</w:t>
      </w:r>
    </w:p>
    <w:p>
      <w:pPr>
        <w:pStyle w:val="11"/>
        <w:adjustRightInd w:val="0"/>
        <w:snapToGrid w:val="0"/>
        <w:spacing w:line="440" w:lineRule="exact"/>
        <w:ind w:firstLine="0" w:firstLineChars="0"/>
        <w:rPr>
          <w:b/>
          <w:bCs/>
          <w:color w:val="auto"/>
          <w:szCs w:val="21"/>
          <w:highlight w:val="none"/>
        </w:rPr>
      </w:pPr>
      <w:r>
        <w:rPr>
          <w:b/>
          <w:bCs/>
          <w:color w:val="auto"/>
          <w:szCs w:val="21"/>
          <w:highlight w:val="none"/>
        </w:rPr>
        <w:t>20.2符合性审查。</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53"/>
        <w:gridCol w:w="1701"/>
        <w:gridCol w:w="5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b/>
                <w:color w:val="auto"/>
                <w:szCs w:val="21"/>
                <w:highlight w:val="none"/>
              </w:rPr>
            </w:pPr>
            <w:r>
              <w:rPr>
                <w:b/>
                <w:color w:val="auto"/>
                <w:szCs w:val="21"/>
                <w:highlight w:val="none"/>
              </w:rPr>
              <w:t>序号</w:t>
            </w:r>
          </w:p>
        </w:tc>
        <w:tc>
          <w:tcPr>
            <w:tcW w:w="305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b/>
                <w:color w:val="auto"/>
                <w:szCs w:val="21"/>
                <w:highlight w:val="none"/>
              </w:rPr>
            </w:pPr>
            <w:r>
              <w:rPr>
                <w:b/>
                <w:color w:val="auto"/>
                <w:szCs w:val="21"/>
                <w:highlight w:val="none"/>
              </w:rPr>
              <w:t>评审因素</w:t>
            </w:r>
          </w:p>
        </w:tc>
        <w:tc>
          <w:tcPr>
            <w:tcW w:w="54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b/>
                <w:color w:val="auto"/>
                <w:szCs w:val="21"/>
                <w:highlight w:val="none"/>
              </w:rPr>
            </w:pPr>
            <w:r>
              <w:rPr>
                <w:b/>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67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color w:val="auto"/>
                <w:szCs w:val="21"/>
                <w:highlight w:val="none"/>
              </w:rPr>
            </w:pPr>
            <w:r>
              <w:rPr>
                <w:color w:val="auto"/>
                <w:szCs w:val="21"/>
                <w:highlight w:val="none"/>
              </w:rPr>
              <w:t>1</w:t>
            </w:r>
          </w:p>
        </w:tc>
        <w:tc>
          <w:tcPr>
            <w:tcW w:w="135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color w:val="auto"/>
                <w:szCs w:val="21"/>
                <w:highlight w:val="none"/>
              </w:rPr>
            </w:pPr>
            <w:r>
              <w:rPr>
                <w:color w:val="auto"/>
                <w:szCs w:val="21"/>
                <w:highlight w:val="none"/>
              </w:rPr>
              <w:t>有效性审查</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color w:val="auto"/>
                <w:szCs w:val="21"/>
                <w:highlight w:val="none"/>
              </w:rPr>
            </w:pPr>
            <w:r>
              <w:rPr>
                <w:color w:val="auto"/>
                <w:szCs w:val="21"/>
                <w:highlight w:val="none"/>
              </w:rPr>
              <w:t>响应文件签署或盖章</w:t>
            </w:r>
          </w:p>
        </w:tc>
        <w:tc>
          <w:tcPr>
            <w:tcW w:w="54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color w:val="auto"/>
                <w:szCs w:val="21"/>
                <w:highlight w:val="none"/>
              </w:rPr>
            </w:pPr>
            <w:r>
              <w:rPr>
                <w:color w:val="auto"/>
                <w:szCs w:val="21"/>
                <w:highlight w:val="none"/>
              </w:rPr>
              <w:t>响应文件上法定代表人（或其授权代表）或自然人（供应商为自然人）的签署或盖章齐全。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color w:val="auto"/>
                <w:szCs w:val="21"/>
                <w:highlight w:val="none"/>
              </w:rPr>
            </w:pPr>
          </w:p>
        </w:tc>
        <w:tc>
          <w:tcPr>
            <w:tcW w:w="1353"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color w:val="auto"/>
                <w:szCs w:val="21"/>
                <w:highlight w:val="none"/>
              </w:rPr>
            </w:pPr>
            <w:r>
              <w:rPr>
                <w:color w:val="auto"/>
                <w:szCs w:val="21"/>
                <w:highlight w:val="none"/>
              </w:rPr>
              <w:t>响应方案</w:t>
            </w:r>
          </w:p>
        </w:tc>
        <w:tc>
          <w:tcPr>
            <w:tcW w:w="54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color w:val="auto"/>
                <w:szCs w:val="21"/>
                <w:highlight w:val="none"/>
              </w:rPr>
            </w:pPr>
            <w:r>
              <w:rPr>
                <w:color w:val="auto"/>
                <w:szCs w:val="21"/>
                <w:highlight w:val="none"/>
              </w:rPr>
              <w:t>只能有一个方案响应。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color w:val="auto"/>
                <w:szCs w:val="21"/>
                <w:highlight w:val="none"/>
              </w:rPr>
            </w:pPr>
          </w:p>
        </w:tc>
        <w:tc>
          <w:tcPr>
            <w:tcW w:w="1353"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color w:val="auto"/>
                <w:szCs w:val="21"/>
                <w:highlight w:val="none"/>
              </w:rPr>
            </w:pPr>
            <w:r>
              <w:rPr>
                <w:color w:val="auto"/>
                <w:szCs w:val="21"/>
                <w:highlight w:val="none"/>
              </w:rPr>
              <w:t>报价唯一</w:t>
            </w:r>
          </w:p>
        </w:tc>
        <w:tc>
          <w:tcPr>
            <w:tcW w:w="54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color w:val="auto"/>
                <w:szCs w:val="21"/>
                <w:highlight w:val="none"/>
              </w:rPr>
            </w:pPr>
            <w:r>
              <w:rPr>
                <w:color w:val="auto"/>
                <w:szCs w:val="21"/>
                <w:highlight w:val="none"/>
              </w:rPr>
              <w:t>只能在最高限价内报价且只有一个有效报价，不得提交选择性报价。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color w:val="auto"/>
                <w:szCs w:val="21"/>
                <w:highlight w:val="none"/>
              </w:rPr>
            </w:pPr>
            <w:r>
              <w:rPr>
                <w:color w:val="auto"/>
                <w:szCs w:val="21"/>
                <w:highlight w:val="none"/>
              </w:rPr>
              <w:t>2</w:t>
            </w:r>
          </w:p>
        </w:tc>
        <w:tc>
          <w:tcPr>
            <w:tcW w:w="13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color w:val="auto"/>
                <w:szCs w:val="21"/>
                <w:highlight w:val="none"/>
              </w:rPr>
            </w:pPr>
            <w:r>
              <w:rPr>
                <w:color w:val="auto"/>
                <w:szCs w:val="21"/>
                <w:highlight w:val="none"/>
              </w:rPr>
              <w:t>完整性审查</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color w:val="auto"/>
                <w:szCs w:val="21"/>
                <w:highlight w:val="none"/>
              </w:rPr>
            </w:pPr>
            <w:r>
              <w:rPr>
                <w:color w:val="auto"/>
                <w:szCs w:val="21"/>
                <w:highlight w:val="none"/>
              </w:rPr>
              <w:t>响应文件份数</w:t>
            </w:r>
          </w:p>
        </w:tc>
        <w:tc>
          <w:tcPr>
            <w:tcW w:w="54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color w:val="auto"/>
                <w:szCs w:val="21"/>
                <w:highlight w:val="none"/>
              </w:rPr>
            </w:pPr>
            <w:r>
              <w:rPr>
                <w:color w:val="auto"/>
                <w:szCs w:val="21"/>
                <w:highlight w:val="none"/>
              </w:rPr>
              <w:t>响应文件正、副本数量（含电子文档）符合评比文件要求。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75" w:type="dxa"/>
            <w:vMerge w:val="restart"/>
            <w:tcBorders>
              <w:top w:val="single" w:color="auto" w:sz="4" w:space="0"/>
              <w:left w:val="single" w:color="auto" w:sz="4" w:space="0"/>
              <w:right w:val="single" w:color="auto" w:sz="4" w:space="0"/>
            </w:tcBorders>
            <w:vAlign w:val="center"/>
          </w:tcPr>
          <w:p>
            <w:pPr>
              <w:adjustRightInd w:val="0"/>
              <w:snapToGrid w:val="0"/>
              <w:spacing w:line="440" w:lineRule="exact"/>
              <w:jc w:val="center"/>
              <w:rPr>
                <w:color w:val="auto"/>
                <w:szCs w:val="21"/>
                <w:highlight w:val="none"/>
              </w:rPr>
            </w:pPr>
            <w:r>
              <w:rPr>
                <w:color w:val="auto"/>
                <w:szCs w:val="21"/>
                <w:highlight w:val="none"/>
              </w:rPr>
              <w:t>3</w:t>
            </w:r>
          </w:p>
        </w:tc>
        <w:tc>
          <w:tcPr>
            <w:tcW w:w="1353" w:type="dxa"/>
            <w:vMerge w:val="restart"/>
            <w:tcBorders>
              <w:top w:val="single" w:color="auto" w:sz="4" w:space="0"/>
              <w:left w:val="single" w:color="auto" w:sz="4" w:space="0"/>
              <w:right w:val="single" w:color="auto" w:sz="4" w:space="0"/>
            </w:tcBorders>
            <w:vAlign w:val="center"/>
          </w:tcPr>
          <w:p>
            <w:pPr>
              <w:adjustRightInd w:val="0"/>
              <w:snapToGrid w:val="0"/>
              <w:spacing w:line="440" w:lineRule="exact"/>
              <w:jc w:val="center"/>
              <w:rPr>
                <w:color w:val="auto"/>
                <w:szCs w:val="21"/>
                <w:highlight w:val="none"/>
              </w:rPr>
            </w:pPr>
            <w:r>
              <w:rPr>
                <w:color w:val="auto"/>
                <w:szCs w:val="21"/>
                <w:highlight w:val="none"/>
              </w:rPr>
              <w:t>评比文件的响应程度审查</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color w:val="auto"/>
                <w:szCs w:val="21"/>
                <w:highlight w:val="none"/>
              </w:rPr>
            </w:pPr>
            <w:r>
              <w:rPr>
                <w:color w:val="auto"/>
                <w:szCs w:val="21"/>
                <w:highlight w:val="none"/>
              </w:rPr>
              <w:t>响应文件内容</w:t>
            </w:r>
          </w:p>
        </w:tc>
        <w:tc>
          <w:tcPr>
            <w:tcW w:w="54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color w:val="auto"/>
                <w:szCs w:val="21"/>
                <w:highlight w:val="none"/>
              </w:rPr>
            </w:pPr>
            <w:r>
              <w:rPr>
                <w:color w:val="auto"/>
                <w:szCs w:val="21"/>
                <w:highlight w:val="none"/>
              </w:rPr>
              <w:t>对评比文件“第四章3.商务要求”的内容作出响应或承诺。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75" w:type="dxa"/>
            <w:vMerge w:val="continue"/>
            <w:tcBorders>
              <w:left w:val="single" w:color="auto" w:sz="4" w:space="0"/>
              <w:bottom w:val="single" w:color="auto" w:sz="4" w:space="0"/>
              <w:right w:val="single" w:color="auto" w:sz="4" w:space="0"/>
            </w:tcBorders>
            <w:vAlign w:val="center"/>
          </w:tcPr>
          <w:p>
            <w:pPr>
              <w:adjustRightInd w:val="0"/>
              <w:snapToGrid w:val="0"/>
              <w:spacing w:line="440" w:lineRule="exact"/>
              <w:jc w:val="center"/>
              <w:rPr>
                <w:color w:val="auto"/>
                <w:szCs w:val="21"/>
                <w:highlight w:val="none"/>
              </w:rPr>
            </w:pPr>
          </w:p>
        </w:tc>
        <w:tc>
          <w:tcPr>
            <w:tcW w:w="1353" w:type="dxa"/>
            <w:vMerge w:val="continue"/>
            <w:tcBorders>
              <w:left w:val="single" w:color="auto" w:sz="4" w:space="0"/>
              <w:bottom w:val="single" w:color="auto" w:sz="4" w:space="0"/>
              <w:right w:val="single" w:color="auto" w:sz="4" w:space="0"/>
            </w:tcBorders>
            <w:vAlign w:val="center"/>
          </w:tcPr>
          <w:p>
            <w:pPr>
              <w:adjustRightInd w:val="0"/>
              <w:snapToGrid w:val="0"/>
              <w:spacing w:line="440" w:lineRule="exact"/>
              <w:rPr>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color w:val="auto"/>
                <w:szCs w:val="21"/>
                <w:highlight w:val="none"/>
              </w:rPr>
            </w:pPr>
            <w:r>
              <w:rPr>
                <w:color w:val="auto"/>
                <w:szCs w:val="21"/>
                <w:highlight w:val="none"/>
              </w:rPr>
              <w:t>响应有效期</w:t>
            </w:r>
          </w:p>
        </w:tc>
        <w:tc>
          <w:tcPr>
            <w:tcW w:w="54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color w:val="auto"/>
                <w:szCs w:val="21"/>
                <w:highlight w:val="none"/>
              </w:rPr>
            </w:pPr>
            <w:r>
              <w:rPr>
                <w:color w:val="auto"/>
                <w:szCs w:val="21"/>
                <w:highlight w:val="none"/>
              </w:rPr>
              <w:t>响应有效期为评比截止时间起90天。</w:t>
            </w:r>
          </w:p>
        </w:tc>
      </w:tr>
    </w:tbl>
    <w:p>
      <w:pPr>
        <w:adjustRightInd w:val="0"/>
        <w:snapToGrid w:val="0"/>
        <w:spacing w:line="440" w:lineRule="exact"/>
        <w:ind w:left="422" w:hanging="422" w:hangingChars="200"/>
        <w:rPr>
          <w:b/>
          <w:bCs/>
          <w:color w:val="auto"/>
          <w:szCs w:val="21"/>
          <w:highlight w:val="none"/>
        </w:rPr>
      </w:pPr>
      <w:r>
        <w:rPr>
          <w:b/>
          <w:bCs/>
          <w:color w:val="auto"/>
          <w:szCs w:val="21"/>
          <w:highlight w:val="none"/>
        </w:rPr>
        <w:t>20.3在评比采购中，出现下列情形之一的，应予拒绝：</w:t>
      </w:r>
    </w:p>
    <w:p>
      <w:pPr>
        <w:adjustRightInd w:val="0"/>
        <w:snapToGrid w:val="0"/>
        <w:spacing w:line="440" w:lineRule="exact"/>
        <w:rPr>
          <w:color w:val="auto"/>
          <w:szCs w:val="21"/>
          <w:highlight w:val="none"/>
        </w:rPr>
      </w:pPr>
      <w:r>
        <w:rPr>
          <w:color w:val="auto"/>
          <w:szCs w:val="21"/>
          <w:highlight w:val="none"/>
        </w:rPr>
        <w:t>1）出现影响采购公正的违法、违规行为的；</w:t>
      </w:r>
    </w:p>
    <w:p>
      <w:pPr>
        <w:adjustRightInd w:val="0"/>
        <w:snapToGrid w:val="0"/>
        <w:spacing w:line="440" w:lineRule="exact"/>
        <w:rPr>
          <w:color w:val="auto"/>
          <w:szCs w:val="21"/>
          <w:highlight w:val="none"/>
        </w:rPr>
      </w:pPr>
      <w:r>
        <w:rPr>
          <w:color w:val="auto"/>
          <w:szCs w:val="21"/>
          <w:highlight w:val="none"/>
        </w:rPr>
        <w:t>2）评比供应商的报价均超过了采购预算，采购人不能支付的。</w:t>
      </w:r>
    </w:p>
    <w:p>
      <w:pPr>
        <w:adjustRightInd w:val="0"/>
        <w:snapToGrid w:val="0"/>
        <w:spacing w:line="440" w:lineRule="exact"/>
        <w:ind w:left="420" w:hanging="420" w:hangingChars="200"/>
        <w:rPr>
          <w:color w:val="auto"/>
          <w:szCs w:val="21"/>
          <w:highlight w:val="none"/>
        </w:rPr>
      </w:pPr>
      <w:r>
        <w:rPr>
          <w:color w:val="auto"/>
          <w:szCs w:val="21"/>
          <w:highlight w:val="none"/>
        </w:rPr>
        <w:t>20.4评审前，评审委员会将审查每一评比响应文件是否对评比文件提出的所有实质性要求和条件做出</w:t>
      </w:r>
    </w:p>
    <w:p>
      <w:pPr>
        <w:adjustRightInd w:val="0"/>
        <w:snapToGrid w:val="0"/>
        <w:spacing w:line="440" w:lineRule="exact"/>
        <w:ind w:left="420" w:hanging="420" w:hangingChars="200"/>
        <w:rPr>
          <w:color w:val="auto"/>
          <w:szCs w:val="21"/>
          <w:highlight w:val="none"/>
        </w:rPr>
      </w:pPr>
      <w:r>
        <w:rPr>
          <w:color w:val="auto"/>
          <w:szCs w:val="21"/>
          <w:highlight w:val="none"/>
        </w:rPr>
        <w:t>响应，未能在实质性上响应的评比，将按无效处理。只有通过初步审查的评比响应文件才能进入下一</w:t>
      </w:r>
    </w:p>
    <w:p>
      <w:pPr>
        <w:adjustRightInd w:val="0"/>
        <w:snapToGrid w:val="0"/>
        <w:spacing w:line="440" w:lineRule="exact"/>
        <w:ind w:left="420" w:hanging="420" w:hangingChars="200"/>
        <w:rPr>
          <w:color w:val="auto"/>
          <w:szCs w:val="21"/>
          <w:highlight w:val="none"/>
        </w:rPr>
      </w:pPr>
      <w:r>
        <w:rPr>
          <w:color w:val="auto"/>
          <w:szCs w:val="21"/>
          <w:highlight w:val="none"/>
        </w:rPr>
        <w:t>步评审程序。</w:t>
      </w:r>
    </w:p>
    <w:p>
      <w:pPr>
        <w:adjustRightInd w:val="0"/>
        <w:snapToGrid w:val="0"/>
        <w:spacing w:line="440" w:lineRule="exact"/>
        <w:ind w:left="422" w:hanging="422" w:hangingChars="200"/>
        <w:rPr>
          <w:b/>
          <w:bCs/>
          <w:color w:val="auto"/>
          <w:szCs w:val="21"/>
          <w:highlight w:val="none"/>
        </w:rPr>
      </w:pPr>
      <w:r>
        <w:rPr>
          <w:b/>
          <w:bCs/>
          <w:color w:val="auto"/>
          <w:szCs w:val="21"/>
          <w:highlight w:val="none"/>
        </w:rPr>
        <w:t>20.5评审委员会根据评比文件要求，审查并逐项列出评比响应文件的全部偏差。下列情况属于重大偏</w:t>
      </w:r>
    </w:p>
    <w:p>
      <w:pPr>
        <w:adjustRightInd w:val="0"/>
        <w:snapToGrid w:val="0"/>
        <w:spacing w:line="440" w:lineRule="exact"/>
        <w:ind w:left="422" w:hanging="422" w:hangingChars="200"/>
        <w:rPr>
          <w:b/>
          <w:bCs/>
          <w:color w:val="auto"/>
          <w:szCs w:val="21"/>
          <w:highlight w:val="none"/>
        </w:rPr>
      </w:pPr>
      <w:r>
        <w:rPr>
          <w:b/>
          <w:bCs/>
          <w:color w:val="auto"/>
          <w:szCs w:val="21"/>
          <w:highlight w:val="none"/>
        </w:rPr>
        <w:t>差：</w:t>
      </w:r>
    </w:p>
    <w:p>
      <w:pPr>
        <w:numPr>
          <w:ilvl w:val="0"/>
          <w:numId w:val="11"/>
        </w:numPr>
        <w:adjustRightInd w:val="0"/>
        <w:snapToGrid w:val="0"/>
        <w:spacing w:line="440" w:lineRule="exact"/>
        <w:ind w:left="0"/>
        <w:rPr>
          <w:color w:val="auto"/>
          <w:szCs w:val="21"/>
          <w:highlight w:val="none"/>
        </w:rPr>
      </w:pPr>
      <w:r>
        <w:rPr>
          <w:color w:val="auto"/>
          <w:szCs w:val="21"/>
          <w:highlight w:val="none"/>
        </w:rPr>
        <w:t>评比响应文件内容不完整的；</w:t>
      </w:r>
    </w:p>
    <w:p>
      <w:pPr>
        <w:numPr>
          <w:ilvl w:val="0"/>
          <w:numId w:val="11"/>
        </w:numPr>
        <w:adjustRightInd w:val="0"/>
        <w:snapToGrid w:val="0"/>
        <w:spacing w:line="440" w:lineRule="exact"/>
        <w:ind w:left="0"/>
        <w:rPr>
          <w:color w:val="auto"/>
          <w:szCs w:val="21"/>
          <w:highlight w:val="none"/>
        </w:rPr>
      </w:pPr>
      <w:r>
        <w:rPr>
          <w:color w:val="auto"/>
          <w:szCs w:val="21"/>
          <w:highlight w:val="none"/>
        </w:rPr>
        <w:t>评比供应商资格不符合评比文件要求的；</w:t>
      </w:r>
    </w:p>
    <w:p>
      <w:pPr>
        <w:numPr>
          <w:ilvl w:val="0"/>
          <w:numId w:val="11"/>
        </w:numPr>
        <w:adjustRightInd w:val="0"/>
        <w:snapToGrid w:val="0"/>
        <w:spacing w:line="440" w:lineRule="exact"/>
        <w:ind w:left="0"/>
        <w:rPr>
          <w:color w:val="auto"/>
          <w:szCs w:val="21"/>
          <w:highlight w:val="none"/>
        </w:rPr>
      </w:pPr>
      <w:r>
        <w:rPr>
          <w:color w:val="auto"/>
          <w:szCs w:val="21"/>
          <w:highlight w:val="none"/>
        </w:rPr>
        <w:t>评比响应文件没有法定代表人（或其授权代表）或自然人（供应商为自然人）的签署或加盖公章；</w:t>
      </w:r>
    </w:p>
    <w:p>
      <w:pPr>
        <w:numPr>
          <w:ilvl w:val="0"/>
          <w:numId w:val="11"/>
        </w:numPr>
        <w:adjustRightInd w:val="0"/>
        <w:snapToGrid w:val="0"/>
        <w:spacing w:line="440" w:lineRule="exact"/>
        <w:ind w:left="0"/>
        <w:rPr>
          <w:color w:val="auto"/>
          <w:szCs w:val="21"/>
          <w:highlight w:val="none"/>
        </w:rPr>
      </w:pPr>
      <w:r>
        <w:rPr>
          <w:color w:val="auto"/>
          <w:szCs w:val="21"/>
          <w:highlight w:val="none"/>
        </w:rPr>
        <w:t>评比响应文件中附有采购人不能接受的条件或对合同中约定的采购人和评比供应商的义务有重大的限制，且纠正这些偏差将会对其他实质上响应评比文件要求的评比供应商的竞争地位产生不公正的影响；</w:t>
      </w:r>
    </w:p>
    <w:p>
      <w:pPr>
        <w:numPr>
          <w:ilvl w:val="0"/>
          <w:numId w:val="11"/>
        </w:numPr>
        <w:adjustRightInd w:val="0"/>
        <w:snapToGrid w:val="0"/>
        <w:spacing w:line="440" w:lineRule="exact"/>
        <w:ind w:left="0"/>
        <w:rPr>
          <w:color w:val="auto"/>
          <w:szCs w:val="21"/>
          <w:highlight w:val="none"/>
        </w:rPr>
      </w:pPr>
      <w:r>
        <w:rPr>
          <w:color w:val="auto"/>
          <w:szCs w:val="21"/>
          <w:highlight w:val="none"/>
        </w:rPr>
        <w:t>不符合评比文件规定的其他实质性要求。</w:t>
      </w:r>
    </w:p>
    <w:p>
      <w:pPr>
        <w:adjustRightInd w:val="0"/>
        <w:snapToGrid w:val="0"/>
        <w:spacing w:line="440" w:lineRule="exact"/>
        <w:rPr>
          <w:b/>
          <w:color w:val="auto"/>
          <w:szCs w:val="21"/>
          <w:highlight w:val="none"/>
        </w:rPr>
      </w:pPr>
      <w:r>
        <w:rPr>
          <w:color w:val="auto"/>
          <w:szCs w:val="21"/>
          <w:highlight w:val="none"/>
        </w:rPr>
        <w:t>相应评比文件有上述情形之一的，即构成未对评比文件做出实质性响应，将按无效处理，不允许评比供应商通过修改或撤消其不符合要求的偏差，使之成为具有响应性的评比。</w:t>
      </w:r>
    </w:p>
    <w:p>
      <w:pPr>
        <w:adjustRightInd w:val="0"/>
        <w:snapToGrid w:val="0"/>
        <w:spacing w:line="440" w:lineRule="exact"/>
        <w:rPr>
          <w:b/>
          <w:bCs/>
          <w:color w:val="auto"/>
          <w:szCs w:val="21"/>
          <w:highlight w:val="none"/>
        </w:rPr>
      </w:pPr>
      <w:r>
        <w:rPr>
          <w:b/>
          <w:bCs/>
          <w:color w:val="auto"/>
          <w:szCs w:val="21"/>
          <w:highlight w:val="none"/>
        </w:rPr>
        <w:t>21．错误的修正</w:t>
      </w:r>
    </w:p>
    <w:p>
      <w:pPr>
        <w:adjustRightInd w:val="0"/>
        <w:snapToGrid w:val="0"/>
        <w:spacing w:line="440" w:lineRule="exact"/>
        <w:ind w:left="525" w:hanging="525" w:hangingChars="250"/>
        <w:rPr>
          <w:color w:val="auto"/>
          <w:szCs w:val="21"/>
          <w:highlight w:val="none"/>
        </w:rPr>
      </w:pPr>
      <w:r>
        <w:rPr>
          <w:color w:val="auto"/>
          <w:szCs w:val="21"/>
          <w:highlight w:val="none"/>
        </w:rPr>
        <w:t>21.1对于实质上符合评比文件要求的评比响应文件，评审委员会将对其报价进行校核，并对有算术性差错的给予修正。修正的原则为：</w:t>
      </w:r>
    </w:p>
    <w:p>
      <w:pPr>
        <w:numPr>
          <w:ilvl w:val="2"/>
          <w:numId w:val="12"/>
        </w:numPr>
        <w:adjustRightInd w:val="0"/>
        <w:snapToGrid w:val="0"/>
        <w:spacing w:line="440" w:lineRule="exact"/>
        <w:rPr>
          <w:color w:val="auto"/>
          <w:szCs w:val="21"/>
          <w:highlight w:val="none"/>
        </w:rPr>
      </w:pPr>
      <w:r>
        <w:rPr>
          <w:color w:val="auto"/>
          <w:szCs w:val="21"/>
          <w:highlight w:val="none"/>
        </w:rPr>
        <w:t>如果用数字表示的数额与用文字表示的数额不一致时，以文字数额为准。</w:t>
      </w:r>
    </w:p>
    <w:p>
      <w:pPr>
        <w:numPr>
          <w:ilvl w:val="2"/>
          <w:numId w:val="12"/>
        </w:numPr>
        <w:adjustRightInd w:val="0"/>
        <w:snapToGrid w:val="0"/>
        <w:spacing w:line="440" w:lineRule="exact"/>
        <w:rPr>
          <w:color w:val="auto"/>
          <w:szCs w:val="21"/>
          <w:highlight w:val="none"/>
        </w:rPr>
      </w:pPr>
      <w:r>
        <w:rPr>
          <w:color w:val="auto"/>
          <w:szCs w:val="21"/>
          <w:highlight w:val="none"/>
        </w:rPr>
        <w:t>当单价与数量的乘积与合价之间不一致时，通常以标出的单价为准。除非评审机构认为有明显的小数点错位，此时应以标出的合价为准，并修改单价。</w:t>
      </w:r>
    </w:p>
    <w:p>
      <w:pPr>
        <w:numPr>
          <w:ilvl w:val="2"/>
          <w:numId w:val="12"/>
        </w:numPr>
        <w:adjustRightInd w:val="0"/>
        <w:snapToGrid w:val="0"/>
        <w:spacing w:line="440" w:lineRule="exact"/>
        <w:rPr>
          <w:color w:val="auto"/>
          <w:szCs w:val="21"/>
          <w:highlight w:val="none"/>
        </w:rPr>
      </w:pPr>
      <w:r>
        <w:rPr>
          <w:color w:val="auto"/>
          <w:szCs w:val="21"/>
          <w:highlight w:val="none"/>
        </w:rPr>
        <w:t>当各细目的合价累计与总价不一致时，应以各细目合价累计数为准，修正总价。</w:t>
      </w:r>
    </w:p>
    <w:p>
      <w:pPr>
        <w:adjustRightInd w:val="0"/>
        <w:snapToGrid w:val="0"/>
        <w:spacing w:line="440" w:lineRule="exact"/>
        <w:ind w:left="420" w:hanging="420" w:hangingChars="200"/>
        <w:rPr>
          <w:color w:val="auto"/>
          <w:szCs w:val="21"/>
          <w:highlight w:val="none"/>
        </w:rPr>
      </w:pPr>
      <w:r>
        <w:rPr>
          <w:color w:val="auto"/>
          <w:szCs w:val="21"/>
          <w:highlight w:val="none"/>
        </w:rPr>
        <w:t>21．2按以上原则对算术性差错的修正，应取得评比供应商的同意，并确认修正后的最终评比价。如果评比供应商拒绝确认，则其评比响应文件将不予评审，评委会有权宣布其评比无效。</w:t>
      </w:r>
    </w:p>
    <w:p>
      <w:pPr>
        <w:adjustRightInd w:val="0"/>
        <w:snapToGrid w:val="0"/>
        <w:spacing w:line="440" w:lineRule="exact"/>
        <w:ind w:left="630" w:hanging="630" w:hangingChars="300"/>
        <w:rPr>
          <w:color w:val="auto"/>
          <w:szCs w:val="21"/>
          <w:highlight w:val="none"/>
        </w:rPr>
      </w:pPr>
      <w:r>
        <w:rPr>
          <w:color w:val="auto"/>
          <w:szCs w:val="21"/>
          <w:highlight w:val="none"/>
        </w:rPr>
        <w:t>21．3评审委员会发现评比供应商的报价明显低于其他评比报价，使得其评比报价可能低于其成本的，将要求该评比供应商做出书面说明并提供相关证明材料。评比供应商如不能合理说明或不能提供相关证明材料的，由评审委员会认定该评比供应商以低于成本报价竞标，其评比将按无效处理。</w:t>
      </w:r>
    </w:p>
    <w:p>
      <w:pPr>
        <w:numPr>
          <w:ilvl w:val="0"/>
          <w:numId w:val="13"/>
        </w:numPr>
        <w:adjustRightInd w:val="0"/>
        <w:snapToGrid w:val="0"/>
        <w:spacing w:line="440" w:lineRule="exact"/>
        <w:rPr>
          <w:b/>
          <w:bCs/>
          <w:color w:val="auto"/>
          <w:szCs w:val="21"/>
          <w:highlight w:val="none"/>
        </w:rPr>
      </w:pPr>
      <w:r>
        <w:rPr>
          <w:b/>
          <w:bCs/>
          <w:color w:val="auto"/>
          <w:szCs w:val="21"/>
          <w:highlight w:val="none"/>
        </w:rPr>
        <w:t>评比响应文件的澄清</w:t>
      </w:r>
    </w:p>
    <w:p>
      <w:pPr>
        <w:adjustRightInd w:val="0"/>
        <w:snapToGrid w:val="0"/>
        <w:spacing w:line="440" w:lineRule="exact"/>
        <w:ind w:left="630" w:hanging="630" w:hangingChars="300"/>
        <w:rPr>
          <w:color w:val="auto"/>
          <w:szCs w:val="21"/>
          <w:highlight w:val="none"/>
        </w:rPr>
      </w:pPr>
      <w:r>
        <w:rPr>
          <w:color w:val="auto"/>
          <w:szCs w:val="21"/>
          <w:highlight w:val="none"/>
        </w:rPr>
        <w:t>评审阶段，评审委员会认为需要时，可要求评比供应商现场澄清其评比响应文件中的问题，或者要求补</w:t>
      </w:r>
    </w:p>
    <w:p>
      <w:pPr>
        <w:adjustRightInd w:val="0"/>
        <w:snapToGrid w:val="0"/>
        <w:spacing w:line="440" w:lineRule="exact"/>
        <w:ind w:left="630" w:hanging="630" w:hangingChars="300"/>
        <w:rPr>
          <w:color w:val="auto"/>
          <w:szCs w:val="21"/>
          <w:highlight w:val="none"/>
        </w:rPr>
      </w:pPr>
      <w:r>
        <w:rPr>
          <w:color w:val="auto"/>
          <w:szCs w:val="21"/>
          <w:highlight w:val="none"/>
        </w:rPr>
        <w:t>充某些资料，对此，评比供应商不得拒绝。</w:t>
      </w:r>
    </w:p>
    <w:p>
      <w:pPr>
        <w:adjustRightInd w:val="0"/>
        <w:snapToGrid w:val="0"/>
        <w:spacing w:line="440" w:lineRule="exact"/>
        <w:rPr>
          <w:b/>
          <w:bCs/>
          <w:color w:val="auto"/>
          <w:szCs w:val="21"/>
          <w:highlight w:val="none"/>
        </w:rPr>
      </w:pPr>
      <w:r>
        <w:rPr>
          <w:b/>
          <w:bCs/>
          <w:color w:val="auto"/>
          <w:szCs w:val="21"/>
          <w:highlight w:val="none"/>
        </w:rPr>
        <w:t>23．评比响应文件的评价与比较</w:t>
      </w:r>
    </w:p>
    <w:p>
      <w:pPr>
        <w:adjustRightInd w:val="0"/>
        <w:snapToGrid w:val="0"/>
        <w:spacing w:line="440" w:lineRule="exact"/>
        <w:rPr>
          <w:color w:val="auto"/>
          <w:szCs w:val="21"/>
          <w:highlight w:val="none"/>
        </w:rPr>
      </w:pPr>
      <w:r>
        <w:rPr>
          <w:color w:val="auto"/>
          <w:szCs w:val="21"/>
          <w:highlight w:val="none"/>
        </w:rPr>
        <w:t>23．1本项目采用综合评分法进行评审，具体评审办法及标准详见第六章。</w:t>
      </w:r>
    </w:p>
    <w:p>
      <w:pPr>
        <w:adjustRightInd w:val="0"/>
        <w:snapToGrid w:val="0"/>
        <w:spacing w:line="440" w:lineRule="exact"/>
        <w:ind w:left="630" w:hanging="630" w:hangingChars="300"/>
        <w:rPr>
          <w:color w:val="auto"/>
          <w:szCs w:val="21"/>
          <w:highlight w:val="none"/>
        </w:rPr>
      </w:pPr>
      <w:r>
        <w:rPr>
          <w:color w:val="auto"/>
          <w:szCs w:val="21"/>
          <w:highlight w:val="none"/>
        </w:rPr>
        <w:t>23．2评委会将根据各评比供应商综合评分得分推荐排名第一名的单位为本项目的成交候选供应商。</w:t>
      </w:r>
    </w:p>
    <w:p>
      <w:pPr>
        <w:adjustRightInd w:val="0"/>
        <w:snapToGrid w:val="0"/>
        <w:spacing w:line="440" w:lineRule="exact"/>
        <w:ind w:left="630" w:hanging="630" w:hangingChars="300"/>
        <w:rPr>
          <w:color w:val="auto"/>
          <w:szCs w:val="21"/>
          <w:highlight w:val="none"/>
        </w:rPr>
      </w:pPr>
    </w:p>
    <w:p>
      <w:pPr>
        <w:pStyle w:val="3"/>
        <w:spacing w:line="440" w:lineRule="exact"/>
        <w:rPr>
          <w:rFonts w:ascii="Times New Roman" w:hAnsi="Times New Roman" w:eastAsia="宋体"/>
          <w:color w:val="auto"/>
          <w:sz w:val="28"/>
          <w:szCs w:val="28"/>
          <w:highlight w:val="none"/>
        </w:rPr>
      </w:pPr>
      <w:bookmarkStart w:id="38" w:name="_Toc24456368"/>
      <w:bookmarkStart w:id="39" w:name="_Toc10213432"/>
      <w:bookmarkStart w:id="40" w:name="_Toc33340840"/>
      <w:bookmarkStart w:id="41" w:name="_Toc24455235"/>
      <w:bookmarkStart w:id="42" w:name="_Toc68963466"/>
      <w:bookmarkStart w:id="43" w:name="_Toc24083815"/>
      <w:bookmarkStart w:id="44" w:name="_Toc24711813"/>
      <w:r>
        <w:rPr>
          <w:rFonts w:ascii="Times New Roman" w:hAnsi="Times New Roman" w:eastAsia="宋体"/>
          <w:color w:val="auto"/>
          <w:sz w:val="28"/>
          <w:szCs w:val="28"/>
          <w:highlight w:val="none"/>
        </w:rPr>
        <w:t>六、合同的授予</w:t>
      </w:r>
      <w:bookmarkEnd w:id="38"/>
      <w:bookmarkEnd w:id="39"/>
      <w:bookmarkEnd w:id="40"/>
      <w:bookmarkEnd w:id="41"/>
      <w:bookmarkEnd w:id="42"/>
      <w:bookmarkEnd w:id="43"/>
      <w:bookmarkEnd w:id="44"/>
    </w:p>
    <w:p>
      <w:pPr>
        <w:adjustRightInd w:val="0"/>
        <w:snapToGrid w:val="0"/>
        <w:spacing w:line="440" w:lineRule="exact"/>
        <w:rPr>
          <w:color w:val="auto"/>
          <w:szCs w:val="21"/>
          <w:highlight w:val="none"/>
        </w:rPr>
      </w:pPr>
      <w:r>
        <w:rPr>
          <w:b/>
          <w:bCs/>
          <w:color w:val="auto"/>
          <w:szCs w:val="21"/>
          <w:highlight w:val="none"/>
        </w:rPr>
        <w:t>24．合同授予的条件</w:t>
      </w:r>
    </w:p>
    <w:p>
      <w:pPr>
        <w:adjustRightInd w:val="0"/>
        <w:snapToGrid w:val="0"/>
        <w:spacing w:line="440" w:lineRule="exact"/>
        <w:rPr>
          <w:color w:val="auto"/>
          <w:szCs w:val="21"/>
          <w:highlight w:val="none"/>
        </w:rPr>
      </w:pPr>
      <w:r>
        <w:rPr>
          <w:color w:val="auto"/>
          <w:szCs w:val="21"/>
          <w:highlight w:val="none"/>
        </w:rPr>
        <w:t>24．1采购人将把合同授予按本须知第</w:t>
      </w:r>
      <w:r>
        <w:rPr>
          <w:color w:val="auto"/>
          <w:szCs w:val="21"/>
          <w:highlight w:val="none"/>
          <w:u w:val="single"/>
        </w:rPr>
        <w:t>23</w:t>
      </w:r>
      <w:r>
        <w:rPr>
          <w:color w:val="auto"/>
          <w:szCs w:val="21"/>
          <w:highlight w:val="none"/>
        </w:rPr>
        <w:t>条规定评选出的评比供应商。</w:t>
      </w:r>
    </w:p>
    <w:p>
      <w:pPr>
        <w:adjustRightInd w:val="0"/>
        <w:snapToGrid w:val="0"/>
        <w:spacing w:line="440" w:lineRule="exact"/>
        <w:rPr>
          <w:color w:val="auto"/>
          <w:szCs w:val="21"/>
          <w:highlight w:val="none"/>
        </w:rPr>
      </w:pPr>
      <w:r>
        <w:rPr>
          <w:color w:val="auto"/>
          <w:szCs w:val="21"/>
          <w:highlight w:val="none"/>
        </w:rPr>
        <w:t>24．2采购人不承诺将合同授予报价最低的评比供应商。</w:t>
      </w:r>
    </w:p>
    <w:p>
      <w:pPr>
        <w:adjustRightInd w:val="0"/>
        <w:snapToGrid w:val="0"/>
        <w:spacing w:line="440" w:lineRule="exact"/>
        <w:rPr>
          <w:color w:val="auto"/>
          <w:szCs w:val="21"/>
          <w:highlight w:val="none"/>
        </w:rPr>
      </w:pPr>
      <w:r>
        <w:rPr>
          <w:b/>
          <w:bCs/>
          <w:color w:val="auto"/>
          <w:szCs w:val="21"/>
          <w:highlight w:val="none"/>
        </w:rPr>
        <w:t>25. 接受和拒绝评比的权利</w:t>
      </w:r>
    </w:p>
    <w:p>
      <w:pPr>
        <w:adjustRightInd w:val="0"/>
        <w:snapToGrid w:val="0"/>
        <w:spacing w:line="440" w:lineRule="exact"/>
        <w:ind w:left="315" w:leftChars="150"/>
        <w:rPr>
          <w:color w:val="auto"/>
          <w:szCs w:val="21"/>
          <w:highlight w:val="none"/>
        </w:rPr>
      </w:pPr>
      <w:r>
        <w:rPr>
          <w:color w:val="auto"/>
          <w:szCs w:val="21"/>
          <w:highlight w:val="none"/>
        </w:rPr>
        <w:t>在成交通知书发出之前，采购人有权接受或拒绝任何评比，宣布无效或拒绝所有评比，并对由此而引起的对评比供应商的影响不承担责任，也不解释原因。</w:t>
      </w:r>
    </w:p>
    <w:p>
      <w:pPr>
        <w:numPr>
          <w:ilvl w:val="0"/>
          <w:numId w:val="14"/>
        </w:numPr>
        <w:adjustRightInd w:val="0"/>
        <w:snapToGrid w:val="0"/>
        <w:spacing w:line="440" w:lineRule="exact"/>
        <w:rPr>
          <w:b/>
          <w:bCs/>
          <w:color w:val="auto"/>
          <w:szCs w:val="21"/>
          <w:highlight w:val="none"/>
        </w:rPr>
      </w:pPr>
      <w:r>
        <w:rPr>
          <w:b/>
          <w:bCs/>
          <w:color w:val="auto"/>
          <w:szCs w:val="21"/>
          <w:highlight w:val="none"/>
        </w:rPr>
        <w:t>成交通知书</w:t>
      </w:r>
    </w:p>
    <w:p>
      <w:pPr>
        <w:adjustRightInd w:val="0"/>
        <w:snapToGrid w:val="0"/>
        <w:spacing w:line="440" w:lineRule="exact"/>
        <w:ind w:left="525" w:hanging="525" w:hangingChars="250"/>
        <w:rPr>
          <w:color w:val="auto"/>
          <w:szCs w:val="21"/>
          <w:highlight w:val="none"/>
        </w:rPr>
      </w:pPr>
      <w:r>
        <w:rPr>
          <w:color w:val="auto"/>
          <w:szCs w:val="21"/>
          <w:highlight w:val="none"/>
        </w:rPr>
        <w:t>26．1评审结束后，采购人在评比响应文件有效期截止前向成交供应商发出《成交通知书》,并同时将成交结果在《中国政府采购网》公示。</w:t>
      </w:r>
    </w:p>
    <w:p>
      <w:pPr>
        <w:adjustRightInd w:val="0"/>
        <w:snapToGrid w:val="0"/>
        <w:spacing w:line="440" w:lineRule="exact"/>
        <w:rPr>
          <w:color w:val="auto"/>
          <w:szCs w:val="21"/>
          <w:highlight w:val="none"/>
        </w:rPr>
      </w:pPr>
      <w:r>
        <w:rPr>
          <w:color w:val="auto"/>
          <w:szCs w:val="21"/>
          <w:highlight w:val="none"/>
        </w:rPr>
        <w:t>26．2《成交通知书》是合同文件的组成部分。</w:t>
      </w:r>
    </w:p>
    <w:p>
      <w:pPr>
        <w:numPr>
          <w:ilvl w:val="0"/>
          <w:numId w:val="15"/>
        </w:numPr>
        <w:adjustRightInd w:val="0"/>
        <w:snapToGrid w:val="0"/>
        <w:spacing w:line="440" w:lineRule="exact"/>
        <w:rPr>
          <w:b/>
          <w:bCs/>
          <w:color w:val="auto"/>
          <w:szCs w:val="21"/>
          <w:highlight w:val="none"/>
        </w:rPr>
      </w:pPr>
      <w:r>
        <w:rPr>
          <w:b/>
          <w:bCs/>
          <w:color w:val="auto"/>
          <w:szCs w:val="21"/>
          <w:highlight w:val="none"/>
        </w:rPr>
        <w:t>签订合同</w:t>
      </w:r>
    </w:p>
    <w:p>
      <w:pPr>
        <w:adjustRightInd w:val="0"/>
        <w:snapToGrid w:val="0"/>
        <w:spacing w:line="440" w:lineRule="exact"/>
        <w:ind w:left="619" w:hanging="619" w:hangingChars="295"/>
        <w:rPr>
          <w:color w:val="auto"/>
          <w:szCs w:val="21"/>
          <w:highlight w:val="none"/>
        </w:rPr>
      </w:pPr>
      <w:r>
        <w:rPr>
          <w:color w:val="auto"/>
          <w:szCs w:val="21"/>
          <w:highlight w:val="none"/>
        </w:rPr>
        <w:t>27．1成交供应商应在成交通知书发出后</w:t>
      </w:r>
      <w:r>
        <w:rPr>
          <w:color w:val="auto"/>
          <w:szCs w:val="21"/>
          <w:highlight w:val="none"/>
          <w:u w:val="single"/>
        </w:rPr>
        <w:t>30</w:t>
      </w:r>
      <w:r>
        <w:rPr>
          <w:color w:val="auto"/>
          <w:szCs w:val="21"/>
          <w:highlight w:val="none"/>
        </w:rPr>
        <w:t>天内，根据评比文件和成交人的评比响应文件与采购人签订服务合同，采购人和成交供应商不得另行订立背离合同实质性内容的其它协议。</w:t>
      </w:r>
    </w:p>
    <w:p>
      <w:pPr>
        <w:adjustRightInd w:val="0"/>
        <w:snapToGrid w:val="0"/>
        <w:spacing w:line="440" w:lineRule="exact"/>
        <w:ind w:left="619" w:hanging="619" w:hangingChars="295"/>
        <w:rPr>
          <w:color w:val="auto"/>
          <w:szCs w:val="21"/>
          <w:highlight w:val="none"/>
        </w:rPr>
      </w:pPr>
    </w:p>
    <w:p>
      <w:pPr>
        <w:pStyle w:val="3"/>
        <w:spacing w:line="480" w:lineRule="auto"/>
        <w:rPr>
          <w:rFonts w:ascii="Times New Roman" w:hAnsi="Times New Roman" w:eastAsia="宋体"/>
          <w:snapToGrid w:val="0"/>
          <w:color w:val="auto"/>
          <w:highlight w:val="none"/>
        </w:rPr>
      </w:pPr>
      <w:r>
        <w:rPr>
          <w:rFonts w:ascii="Times New Roman" w:hAnsi="Times New Roman" w:eastAsia="宋体"/>
          <w:color w:val="auto"/>
          <w:sz w:val="28"/>
          <w:szCs w:val="28"/>
          <w:highlight w:val="none"/>
        </w:rPr>
        <w:t>七、其他</w:t>
      </w:r>
    </w:p>
    <w:p>
      <w:pPr>
        <w:adjustRightInd w:val="0"/>
        <w:snapToGrid w:val="0"/>
        <w:spacing w:line="440" w:lineRule="exact"/>
        <w:ind w:left="622" w:hanging="622" w:hangingChars="295"/>
        <w:rPr>
          <w:color w:val="auto"/>
          <w:szCs w:val="21"/>
          <w:highlight w:val="none"/>
        </w:rPr>
      </w:pPr>
      <w:r>
        <w:rPr>
          <w:b/>
          <w:bCs/>
          <w:color w:val="auto"/>
          <w:szCs w:val="21"/>
          <w:highlight w:val="none"/>
        </w:rPr>
        <w:t>28. 需要补充的其他内容：</w:t>
      </w:r>
      <w:r>
        <w:rPr>
          <w:color w:val="auto"/>
          <w:szCs w:val="21"/>
          <w:highlight w:val="none"/>
        </w:rPr>
        <w:t>本须知前附表。</w:t>
      </w:r>
    </w:p>
    <w:p>
      <w:pPr>
        <w:pStyle w:val="2"/>
        <w:keepLines w:val="0"/>
        <w:widowControl w:val="0"/>
        <w:tabs>
          <w:tab w:val="left" w:pos="1530"/>
          <w:tab w:val="left" w:pos="3360"/>
          <w:tab w:val="left" w:pos="8052"/>
        </w:tabs>
        <w:adjustRightInd/>
        <w:spacing w:line="480" w:lineRule="auto"/>
        <w:ind w:left="1531" w:hanging="1531"/>
        <w:rPr>
          <w:rFonts w:eastAsia="宋体"/>
          <w:bCs w:val="0"/>
          <w:color w:val="auto"/>
          <w:kern w:val="2"/>
          <w:szCs w:val="36"/>
          <w:highlight w:val="none"/>
        </w:rPr>
      </w:pPr>
      <w:r>
        <w:rPr>
          <w:rFonts w:eastAsia="宋体"/>
          <w:color w:val="auto"/>
          <w:sz w:val="21"/>
          <w:szCs w:val="21"/>
          <w:highlight w:val="none"/>
        </w:rPr>
        <w:br w:type="page"/>
      </w:r>
      <w:bookmarkStart w:id="45" w:name="_Toc10213433"/>
      <w:bookmarkStart w:id="46" w:name="_Toc68963468"/>
      <w:r>
        <w:rPr>
          <w:rFonts w:eastAsia="宋体"/>
          <w:bCs w:val="0"/>
          <w:color w:val="auto"/>
          <w:kern w:val="2"/>
          <w:szCs w:val="36"/>
          <w:highlight w:val="none"/>
        </w:rPr>
        <w:t>第三章、合同条件、格式</w:t>
      </w:r>
      <w:bookmarkEnd w:id="45"/>
    </w:p>
    <w:p>
      <w:pPr>
        <w:pStyle w:val="34"/>
        <w:shd w:val="clear" w:color="auto" w:fill="FFFFFF"/>
        <w:spacing w:beforeAutospacing="0" w:afterAutospacing="0"/>
        <w:jc w:val="center"/>
        <w:rPr>
          <w:rFonts w:ascii="Times New Roman" w:hAnsi="Times New Roman" w:eastAsia="宋体" w:cs="Times New Roman"/>
          <w:b/>
          <w:color w:val="auto"/>
          <w:kern w:val="2"/>
          <w:sz w:val="48"/>
          <w:szCs w:val="48"/>
          <w:highlight w:val="none"/>
        </w:rPr>
      </w:pPr>
      <w:r>
        <w:rPr>
          <w:rFonts w:ascii="Times New Roman" w:hAnsi="Times New Roman" w:eastAsia="宋体" w:cs="Times New Roman"/>
          <w:b/>
          <w:color w:val="auto"/>
          <w:kern w:val="2"/>
          <w:sz w:val="48"/>
          <w:szCs w:val="48"/>
          <w:highlight w:val="none"/>
        </w:rPr>
        <w:t>货物类采购合同</w:t>
      </w:r>
    </w:p>
    <w:p>
      <w:pPr>
        <w:pStyle w:val="34"/>
        <w:shd w:val="clear" w:color="auto" w:fill="FFFFFF"/>
        <w:spacing w:beforeAutospacing="0" w:afterAutospacing="0" w:line="560" w:lineRule="exact"/>
        <w:jc w:val="center"/>
        <w:rPr>
          <w:rFonts w:ascii="Times New Roman" w:hAnsi="Times New Roman" w:eastAsia="宋体" w:cs="Times New Roman"/>
          <w:b/>
          <w:bCs/>
          <w:color w:val="auto"/>
          <w:highlight w:val="none"/>
          <w:shd w:val="clear" w:color="auto" w:fill="FFFFFF"/>
        </w:rPr>
      </w:pPr>
    </w:p>
    <w:p>
      <w:pPr>
        <w:pStyle w:val="34"/>
        <w:shd w:val="clear" w:color="auto" w:fill="FFFFFF"/>
        <w:spacing w:beforeAutospacing="0" w:afterAutospacing="0" w:line="560" w:lineRule="exact"/>
        <w:jc w:val="center"/>
        <w:rPr>
          <w:rFonts w:ascii="Times New Roman" w:hAnsi="Times New Roman" w:eastAsia="宋体" w:cs="Times New Roman"/>
          <w:b/>
          <w:bCs/>
          <w:color w:val="auto"/>
          <w:highlight w:val="none"/>
          <w:shd w:val="clear" w:color="auto" w:fill="FFFFFF"/>
        </w:rPr>
      </w:pPr>
    </w:p>
    <w:p>
      <w:pPr>
        <w:pStyle w:val="34"/>
        <w:shd w:val="clear" w:color="auto" w:fill="FFFFFF"/>
        <w:spacing w:beforeAutospacing="0" w:afterAutospacing="0" w:line="560" w:lineRule="exact"/>
        <w:jc w:val="center"/>
        <w:rPr>
          <w:rFonts w:ascii="Times New Roman" w:hAnsi="Times New Roman" w:eastAsia="宋体" w:cs="Times New Roman"/>
          <w:b/>
          <w:bCs/>
          <w:color w:val="auto"/>
          <w:highlight w:val="none"/>
          <w:shd w:val="clear" w:color="auto" w:fill="FFFFFF"/>
        </w:rPr>
      </w:pPr>
    </w:p>
    <w:p>
      <w:pPr>
        <w:pStyle w:val="34"/>
        <w:shd w:val="clear" w:color="auto" w:fill="FFFFFF"/>
        <w:spacing w:beforeAutospacing="0" w:afterAutospacing="0" w:line="560" w:lineRule="exact"/>
        <w:jc w:val="center"/>
        <w:rPr>
          <w:rFonts w:ascii="Times New Roman" w:hAnsi="Times New Roman" w:eastAsia="宋体" w:cs="Times New Roman"/>
          <w:b/>
          <w:bCs/>
          <w:color w:val="auto"/>
          <w:highlight w:val="none"/>
          <w:shd w:val="clear" w:color="auto" w:fill="FFFFFF"/>
        </w:rPr>
      </w:pPr>
    </w:p>
    <w:p>
      <w:pPr>
        <w:pStyle w:val="34"/>
        <w:shd w:val="clear" w:color="auto" w:fill="FFFFFF"/>
        <w:spacing w:beforeAutospacing="0" w:afterAutospacing="0" w:line="560" w:lineRule="exact"/>
        <w:jc w:val="center"/>
        <w:rPr>
          <w:rFonts w:ascii="Times New Roman" w:hAnsi="Times New Roman" w:eastAsia="宋体" w:cs="Times New Roman"/>
          <w:b/>
          <w:bCs/>
          <w:color w:val="auto"/>
          <w:highlight w:val="none"/>
          <w:shd w:val="clear" w:color="auto" w:fill="FFFFFF"/>
        </w:rPr>
      </w:pPr>
    </w:p>
    <w:p>
      <w:pPr>
        <w:pStyle w:val="34"/>
        <w:shd w:val="clear" w:color="auto" w:fill="FFFFFF"/>
        <w:spacing w:beforeAutospacing="0" w:afterAutospacing="0" w:line="560" w:lineRule="exact"/>
        <w:ind w:firstLine="1124" w:firstLineChars="400"/>
        <w:jc w:val="both"/>
        <w:rPr>
          <w:rFonts w:hint="eastAsia" w:ascii="Times New Roman" w:hAnsi="Times New Roman" w:eastAsia="宋体" w:cs="Times New Roman"/>
          <w:b/>
          <w:bCs/>
          <w:color w:val="auto"/>
          <w:sz w:val="28"/>
          <w:szCs w:val="28"/>
          <w:highlight w:val="none"/>
          <w:shd w:val="clear" w:color="auto" w:fill="FFFFFF"/>
          <w:lang w:eastAsia="zh-CN"/>
        </w:rPr>
      </w:pPr>
      <w:r>
        <w:rPr>
          <w:rFonts w:ascii="Times New Roman" w:hAnsi="Times New Roman" w:eastAsia="宋体" w:cs="Times New Roman"/>
          <w:b/>
          <w:bCs/>
          <w:color w:val="auto"/>
          <w:sz w:val="28"/>
          <w:szCs w:val="28"/>
          <w:highlight w:val="none"/>
          <w:shd w:val="clear" w:color="auto" w:fill="FFFFFF"/>
        </w:rPr>
        <w:t>甲 方（买 方）：</w:t>
      </w:r>
      <w:r>
        <w:rPr>
          <w:rFonts w:hint="eastAsia" w:ascii="Times New Roman" w:hAnsi="Times New Roman" w:eastAsia="宋体" w:cs="Times New Roman"/>
          <w:b/>
          <w:bCs/>
          <w:color w:val="auto"/>
          <w:sz w:val="28"/>
          <w:szCs w:val="28"/>
          <w:highlight w:val="none"/>
          <w:u w:val="single"/>
          <w:shd w:val="clear" w:color="auto" w:fill="FFFFFF"/>
          <w:lang w:eastAsia="zh-CN"/>
        </w:rPr>
        <w:t>哈尔滨工业大学重庆研究院</w:t>
      </w:r>
    </w:p>
    <w:p>
      <w:pPr>
        <w:pStyle w:val="34"/>
        <w:shd w:val="clear" w:color="auto" w:fill="FFFFFF"/>
        <w:spacing w:beforeAutospacing="0" w:afterAutospacing="0" w:line="560" w:lineRule="exact"/>
        <w:ind w:firstLine="1124" w:firstLineChars="400"/>
        <w:rPr>
          <w:rFonts w:ascii="Times New Roman" w:hAnsi="Times New Roman" w:eastAsia="宋体" w:cs="Times New Roman"/>
          <w:b/>
          <w:bCs/>
          <w:color w:val="auto"/>
          <w:sz w:val="28"/>
          <w:szCs w:val="28"/>
          <w:highlight w:val="none"/>
          <w:shd w:val="clear" w:color="auto" w:fill="FFFFFF"/>
        </w:rPr>
      </w:pPr>
      <w:r>
        <w:rPr>
          <w:rFonts w:ascii="Times New Roman" w:hAnsi="Times New Roman" w:eastAsia="宋体" w:cs="Times New Roman"/>
          <w:b/>
          <w:bCs/>
          <w:color w:val="auto"/>
          <w:sz w:val="28"/>
          <w:szCs w:val="28"/>
          <w:highlight w:val="none"/>
          <w:shd w:val="clear" w:color="auto" w:fill="FFFFFF"/>
        </w:rPr>
        <w:t>乙 方（卖 方）：</w:t>
      </w:r>
      <w:r>
        <w:rPr>
          <w:rFonts w:ascii="Times New Roman" w:hAnsi="Times New Roman" w:eastAsia="宋体" w:cs="Times New Roman"/>
          <w:b/>
          <w:bCs/>
          <w:color w:val="auto"/>
          <w:sz w:val="28"/>
          <w:szCs w:val="28"/>
          <w:highlight w:val="none"/>
          <w:u w:val="single"/>
          <w:shd w:val="clear" w:color="auto" w:fill="FFFFFF"/>
        </w:rPr>
        <w:t xml:space="preserve">                                  </w:t>
      </w:r>
    </w:p>
    <w:p>
      <w:pPr>
        <w:pStyle w:val="34"/>
        <w:shd w:val="clear" w:color="auto" w:fill="FFFFFF"/>
        <w:spacing w:beforeAutospacing="0" w:afterAutospacing="0" w:line="560" w:lineRule="exact"/>
        <w:jc w:val="center"/>
        <w:rPr>
          <w:rFonts w:ascii="Times New Roman" w:hAnsi="Times New Roman" w:eastAsia="宋体" w:cs="Times New Roman"/>
          <w:b/>
          <w:bCs/>
          <w:color w:val="auto"/>
          <w:sz w:val="28"/>
          <w:szCs w:val="28"/>
          <w:highlight w:val="none"/>
          <w:shd w:val="clear" w:color="auto" w:fill="FFFFFF"/>
        </w:rPr>
      </w:pPr>
    </w:p>
    <w:p>
      <w:pPr>
        <w:pStyle w:val="34"/>
        <w:shd w:val="clear" w:color="auto" w:fill="FFFFFF"/>
        <w:spacing w:beforeAutospacing="0" w:afterAutospacing="0" w:line="560" w:lineRule="exact"/>
        <w:jc w:val="center"/>
        <w:rPr>
          <w:rFonts w:ascii="Times New Roman" w:hAnsi="Times New Roman" w:eastAsia="宋体" w:cs="Times New Roman"/>
          <w:b/>
          <w:bCs/>
          <w:color w:val="auto"/>
          <w:sz w:val="28"/>
          <w:szCs w:val="28"/>
          <w:highlight w:val="none"/>
          <w:shd w:val="clear" w:color="auto" w:fill="FFFFFF"/>
        </w:rPr>
      </w:pPr>
    </w:p>
    <w:p>
      <w:pPr>
        <w:pStyle w:val="34"/>
        <w:shd w:val="clear" w:color="auto" w:fill="FFFFFF"/>
        <w:spacing w:beforeAutospacing="0" w:afterAutospacing="0" w:line="560" w:lineRule="exact"/>
        <w:jc w:val="center"/>
        <w:rPr>
          <w:rFonts w:ascii="Times New Roman" w:hAnsi="Times New Roman" w:eastAsia="宋体" w:cs="Times New Roman"/>
          <w:b/>
          <w:bCs/>
          <w:color w:val="auto"/>
          <w:sz w:val="28"/>
          <w:szCs w:val="28"/>
          <w:highlight w:val="none"/>
          <w:shd w:val="clear" w:color="auto" w:fill="FFFFFF"/>
        </w:rPr>
      </w:pPr>
    </w:p>
    <w:p>
      <w:pPr>
        <w:pStyle w:val="34"/>
        <w:shd w:val="clear" w:color="auto" w:fill="FFFFFF"/>
        <w:spacing w:beforeAutospacing="0" w:afterAutospacing="0" w:line="560" w:lineRule="exact"/>
        <w:jc w:val="center"/>
        <w:rPr>
          <w:rFonts w:ascii="Times New Roman" w:hAnsi="Times New Roman" w:eastAsia="宋体" w:cs="Times New Roman"/>
          <w:b/>
          <w:bCs/>
          <w:color w:val="auto"/>
          <w:sz w:val="28"/>
          <w:szCs w:val="28"/>
          <w:highlight w:val="none"/>
          <w:shd w:val="clear" w:color="auto" w:fill="FFFFFF"/>
        </w:rPr>
      </w:pPr>
    </w:p>
    <w:p>
      <w:pPr>
        <w:pStyle w:val="34"/>
        <w:shd w:val="clear" w:color="auto" w:fill="FFFFFF"/>
        <w:spacing w:beforeAutospacing="0" w:afterAutospacing="0" w:line="560" w:lineRule="exact"/>
        <w:jc w:val="center"/>
        <w:rPr>
          <w:rFonts w:ascii="Times New Roman" w:hAnsi="Times New Roman" w:eastAsia="宋体" w:cs="Times New Roman"/>
          <w:b/>
          <w:bCs/>
          <w:color w:val="auto"/>
          <w:sz w:val="28"/>
          <w:szCs w:val="28"/>
          <w:highlight w:val="none"/>
          <w:shd w:val="clear" w:color="auto" w:fill="FFFFFF"/>
        </w:rPr>
      </w:pPr>
    </w:p>
    <w:p>
      <w:pPr>
        <w:pStyle w:val="34"/>
        <w:shd w:val="clear" w:color="auto" w:fill="FFFFFF"/>
        <w:spacing w:beforeAutospacing="0" w:afterAutospacing="0" w:line="560" w:lineRule="exact"/>
        <w:jc w:val="center"/>
        <w:rPr>
          <w:rFonts w:ascii="Times New Roman" w:hAnsi="Times New Roman" w:eastAsia="宋体" w:cs="Times New Roman"/>
          <w:b/>
          <w:bCs/>
          <w:color w:val="auto"/>
          <w:sz w:val="28"/>
          <w:szCs w:val="28"/>
          <w:highlight w:val="none"/>
          <w:shd w:val="clear" w:color="auto" w:fill="FFFFFF"/>
        </w:rPr>
      </w:pPr>
    </w:p>
    <w:p>
      <w:pPr>
        <w:pStyle w:val="34"/>
        <w:shd w:val="clear" w:color="auto" w:fill="FFFFFF"/>
        <w:spacing w:beforeAutospacing="0" w:afterAutospacing="0" w:line="560" w:lineRule="exact"/>
        <w:jc w:val="center"/>
        <w:rPr>
          <w:rFonts w:ascii="Times New Roman" w:hAnsi="Times New Roman" w:eastAsia="宋体" w:cs="Times New Roman"/>
          <w:b/>
          <w:bCs/>
          <w:color w:val="auto"/>
          <w:sz w:val="28"/>
          <w:szCs w:val="28"/>
          <w:highlight w:val="none"/>
          <w:shd w:val="clear" w:color="auto" w:fill="FFFFFF"/>
        </w:rPr>
      </w:pPr>
      <w:r>
        <w:rPr>
          <w:rFonts w:ascii="Times New Roman" w:hAnsi="Times New Roman" w:eastAsia="宋体" w:cs="Times New Roman"/>
          <w:b/>
          <w:bCs/>
          <w:color w:val="auto"/>
          <w:sz w:val="28"/>
          <w:szCs w:val="28"/>
          <w:highlight w:val="none"/>
          <w:shd w:val="clear" w:color="auto" w:fill="FFFFFF"/>
        </w:rPr>
        <w:t>签订时间：    年  月  日</w:t>
      </w:r>
    </w:p>
    <w:p>
      <w:pPr>
        <w:pStyle w:val="34"/>
        <w:shd w:val="clear" w:color="auto" w:fill="FFFFFF"/>
        <w:spacing w:beforeAutospacing="0" w:afterAutospacing="0" w:line="560" w:lineRule="exact"/>
        <w:ind w:firstLine="3092" w:firstLineChars="1100"/>
        <w:jc w:val="both"/>
        <w:rPr>
          <w:rFonts w:ascii="Times New Roman" w:hAnsi="Times New Roman" w:eastAsia="宋体" w:cs="Times New Roman"/>
          <w:b/>
          <w:bCs/>
          <w:color w:val="auto"/>
          <w:sz w:val="28"/>
          <w:szCs w:val="28"/>
          <w:highlight w:val="none"/>
          <w:shd w:val="clear" w:color="auto" w:fill="FFFFFF"/>
        </w:rPr>
      </w:pPr>
      <w:r>
        <w:rPr>
          <w:rFonts w:ascii="Times New Roman" w:hAnsi="Times New Roman" w:eastAsia="宋体" w:cs="Times New Roman"/>
          <w:b/>
          <w:bCs/>
          <w:color w:val="auto"/>
          <w:sz w:val="28"/>
          <w:szCs w:val="28"/>
          <w:highlight w:val="none"/>
          <w:shd w:val="clear" w:color="auto" w:fill="FFFFFF"/>
        </w:rPr>
        <w:t>签订地点：</w:t>
      </w:r>
    </w:p>
    <w:p>
      <w:pPr>
        <w:pStyle w:val="34"/>
        <w:shd w:val="clear" w:color="auto" w:fill="FFFFFF"/>
        <w:spacing w:beforeAutospacing="0" w:afterAutospacing="0" w:line="400" w:lineRule="exact"/>
        <w:ind w:right="654" w:firstLine="2617" w:firstLineChars="800"/>
        <w:jc w:val="right"/>
        <w:rPr>
          <w:rFonts w:ascii="Times New Roman" w:hAnsi="Times New Roman" w:eastAsia="宋体" w:cs="Times New Roman"/>
          <w:b/>
          <w:bCs/>
          <w:color w:val="auto"/>
          <w:spacing w:val="23"/>
          <w:sz w:val="21"/>
          <w:szCs w:val="21"/>
          <w:highlight w:val="none"/>
          <w:shd w:val="clear" w:color="auto" w:fill="FFFFFF"/>
        </w:rPr>
      </w:pPr>
      <w:r>
        <w:rPr>
          <w:rFonts w:ascii="Times New Roman" w:hAnsi="Times New Roman" w:eastAsia="宋体" w:cs="Times New Roman"/>
          <w:b/>
          <w:bCs/>
          <w:color w:val="auto"/>
          <w:spacing w:val="23"/>
          <w:sz w:val="28"/>
          <w:szCs w:val="28"/>
          <w:highlight w:val="none"/>
          <w:shd w:val="clear" w:color="auto" w:fill="FFFFFF"/>
        </w:rPr>
        <w:br w:type="page"/>
      </w:r>
      <w:r>
        <w:rPr>
          <w:rFonts w:ascii="Times New Roman" w:hAnsi="Times New Roman" w:eastAsia="宋体" w:cs="Times New Roman"/>
          <w:b/>
          <w:bCs/>
          <w:color w:val="auto"/>
          <w:spacing w:val="23"/>
          <w:sz w:val="21"/>
          <w:szCs w:val="21"/>
          <w:highlight w:val="none"/>
          <w:shd w:val="clear" w:color="auto" w:fill="FFFFFF"/>
        </w:rPr>
        <w:t>合同编号：</w:t>
      </w:r>
      <w:r>
        <w:rPr>
          <w:rFonts w:ascii="Times New Roman" w:hAnsi="Times New Roman" w:eastAsia="宋体" w:cs="Times New Roman"/>
          <w:b/>
          <w:bCs/>
          <w:color w:val="auto"/>
          <w:spacing w:val="23"/>
          <w:sz w:val="28"/>
          <w:szCs w:val="28"/>
          <w:highlight w:val="none"/>
          <w:shd w:val="clear" w:color="auto" w:fill="FFFFFF"/>
        </w:rPr>
        <w:t xml:space="preserve">   </w:t>
      </w:r>
    </w:p>
    <w:p>
      <w:pPr>
        <w:pStyle w:val="34"/>
        <w:shd w:val="clear" w:color="auto" w:fill="FFFFFF"/>
        <w:spacing w:beforeAutospacing="0" w:afterAutospacing="0" w:line="400" w:lineRule="exact"/>
        <w:ind w:firstLine="2055" w:firstLineChars="800"/>
        <w:jc w:val="right"/>
        <w:rPr>
          <w:rFonts w:ascii="Times New Roman" w:hAnsi="Times New Roman" w:eastAsia="宋体" w:cs="Times New Roman"/>
          <w:b/>
          <w:bCs/>
          <w:color w:val="auto"/>
          <w:spacing w:val="23"/>
          <w:sz w:val="21"/>
          <w:szCs w:val="21"/>
          <w:highlight w:val="none"/>
          <w:shd w:val="clear" w:color="auto" w:fill="FFFFFF"/>
        </w:rPr>
      </w:pPr>
    </w:p>
    <w:p>
      <w:pPr>
        <w:pStyle w:val="34"/>
        <w:shd w:val="clear" w:color="auto" w:fill="FFFFFF"/>
        <w:spacing w:beforeAutospacing="0" w:afterAutospacing="0" w:line="400" w:lineRule="exact"/>
        <w:ind w:firstLine="735" w:firstLineChars="200"/>
        <w:jc w:val="both"/>
        <w:rPr>
          <w:rFonts w:ascii="Times New Roman" w:hAnsi="Times New Roman" w:eastAsia="宋体" w:cs="Times New Roman"/>
          <w:b/>
          <w:bCs/>
          <w:color w:val="auto"/>
          <w:spacing w:val="23"/>
          <w:sz w:val="32"/>
          <w:szCs w:val="32"/>
          <w:highlight w:val="none"/>
          <w:shd w:val="clear" w:color="auto" w:fill="FFFFFF"/>
        </w:rPr>
      </w:pPr>
      <w:r>
        <w:rPr>
          <w:rFonts w:ascii="Times New Roman" w:hAnsi="Times New Roman" w:eastAsia="宋体" w:cs="Times New Roman"/>
          <w:b/>
          <w:bCs/>
          <w:color w:val="auto"/>
          <w:spacing w:val="23"/>
          <w:sz w:val="32"/>
          <w:szCs w:val="32"/>
          <w:highlight w:val="none"/>
          <w:u w:val="single"/>
          <w:shd w:val="clear" w:color="auto" w:fill="FFFFFF"/>
        </w:rPr>
        <w:t xml:space="preserve">                              </w:t>
      </w:r>
      <w:r>
        <w:rPr>
          <w:rFonts w:ascii="Times New Roman" w:hAnsi="Times New Roman" w:eastAsia="宋体" w:cs="Times New Roman"/>
          <w:b/>
          <w:bCs/>
          <w:color w:val="auto"/>
          <w:spacing w:val="23"/>
          <w:sz w:val="32"/>
          <w:szCs w:val="32"/>
          <w:highlight w:val="none"/>
          <w:shd w:val="clear" w:color="auto" w:fill="FFFFFF"/>
        </w:rPr>
        <w:t>采购合同</w:t>
      </w:r>
    </w:p>
    <w:p>
      <w:pPr>
        <w:pStyle w:val="34"/>
        <w:shd w:val="clear" w:color="auto" w:fill="FFFFFF"/>
        <w:spacing w:beforeAutospacing="0" w:afterAutospacing="0" w:line="400" w:lineRule="exact"/>
        <w:ind w:firstLine="480" w:firstLineChars="200"/>
        <w:jc w:val="both"/>
        <w:rPr>
          <w:rFonts w:ascii="Times New Roman" w:hAnsi="Times New Roman" w:eastAsia="宋体" w:cs="Times New Roman"/>
          <w:bCs/>
          <w:color w:val="auto"/>
          <w:highlight w:val="none"/>
          <w:shd w:val="clear" w:color="auto" w:fill="FFFFFF"/>
        </w:rPr>
      </w:pPr>
    </w:p>
    <w:p>
      <w:pPr>
        <w:pStyle w:val="34"/>
        <w:shd w:val="clear" w:color="auto" w:fill="FFFFFF"/>
        <w:spacing w:beforeAutospacing="0" w:afterAutospacing="0" w:line="400" w:lineRule="exact"/>
        <w:ind w:firstLine="420" w:firstLineChars="200"/>
        <w:jc w:val="both"/>
        <w:rPr>
          <w:rFonts w:hint="eastAsia" w:ascii="Times New Roman" w:hAnsi="Times New Roman" w:eastAsia="宋体" w:cs="Times New Roman"/>
          <w:color w:val="auto"/>
          <w:kern w:val="2"/>
          <w:sz w:val="21"/>
          <w:szCs w:val="21"/>
          <w:highlight w:val="none"/>
          <w:lang w:eastAsia="zh-CN"/>
        </w:rPr>
      </w:pPr>
      <w:r>
        <w:rPr>
          <w:rFonts w:ascii="Times New Roman" w:hAnsi="Times New Roman" w:eastAsia="宋体" w:cs="Times New Roman"/>
          <w:color w:val="auto"/>
          <w:kern w:val="2"/>
          <w:sz w:val="21"/>
          <w:szCs w:val="21"/>
          <w:highlight w:val="none"/>
        </w:rPr>
        <w:t>甲 方（买 方）：</w:t>
      </w:r>
      <w:r>
        <w:rPr>
          <w:rFonts w:hint="eastAsia" w:ascii="Times New Roman" w:hAnsi="Times New Roman" w:eastAsia="宋体" w:cs="Times New Roman"/>
          <w:color w:val="auto"/>
          <w:kern w:val="2"/>
          <w:sz w:val="21"/>
          <w:szCs w:val="21"/>
          <w:highlight w:val="none"/>
          <w:lang w:eastAsia="zh-CN"/>
        </w:rPr>
        <w:t>哈尔滨工业大学重庆研究院</w:t>
      </w:r>
    </w:p>
    <w:p>
      <w:pPr>
        <w:pStyle w:val="34"/>
        <w:shd w:val="clear" w:color="auto" w:fill="FFFFFF"/>
        <w:spacing w:beforeAutospacing="0" w:afterAutospacing="0" w:line="400" w:lineRule="exact"/>
        <w:ind w:firstLine="420" w:firstLineChars="200"/>
        <w:jc w:val="both"/>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法定代表人：</w:t>
      </w:r>
    </w:p>
    <w:p>
      <w:pPr>
        <w:pStyle w:val="34"/>
        <w:shd w:val="clear" w:color="auto" w:fill="FFFFFF"/>
        <w:spacing w:beforeAutospacing="0" w:afterAutospacing="0" w:line="400" w:lineRule="exact"/>
        <w:ind w:firstLine="420" w:firstLineChars="200"/>
        <w:jc w:val="both"/>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地址：</w:t>
      </w:r>
    </w:p>
    <w:p>
      <w:pPr>
        <w:pStyle w:val="34"/>
        <w:shd w:val="clear" w:color="auto" w:fill="FFFFFF"/>
        <w:spacing w:beforeAutospacing="0" w:afterAutospacing="0" w:line="400" w:lineRule="exact"/>
        <w:ind w:firstLine="420" w:firstLineChars="200"/>
        <w:jc w:val="both"/>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邮编：</w:t>
      </w:r>
    </w:p>
    <w:p>
      <w:pPr>
        <w:pStyle w:val="34"/>
        <w:shd w:val="clear" w:color="auto" w:fill="FFFFFF"/>
        <w:spacing w:beforeAutospacing="0" w:afterAutospacing="0" w:line="400" w:lineRule="exact"/>
        <w:ind w:firstLine="420" w:firstLineChars="200"/>
        <w:jc w:val="both"/>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联系人：</w:t>
      </w:r>
    </w:p>
    <w:p>
      <w:pPr>
        <w:pStyle w:val="34"/>
        <w:shd w:val="clear" w:color="auto" w:fill="FFFFFF"/>
        <w:spacing w:beforeAutospacing="0" w:afterAutospacing="0" w:line="400" w:lineRule="exact"/>
        <w:ind w:firstLine="420" w:firstLineChars="200"/>
        <w:jc w:val="both"/>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电话：</w:t>
      </w:r>
    </w:p>
    <w:p>
      <w:pPr>
        <w:pStyle w:val="34"/>
        <w:shd w:val="clear" w:color="auto" w:fill="FFFFFF"/>
        <w:spacing w:beforeAutospacing="0" w:afterAutospacing="0" w:line="400" w:lineRule="exact"/>
        <w:ind w:firstLine="420" w:firstLineChars="200"/>
        <w:jc w:val="both"/>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传真：</w:t>
      </w:r>
    </w:p>
    <w:p>
      <w:pPr>
        <w:pStyle w:val="34"/>
        <w:shd w:val="clear" w:color="auto" w:fill="FFFFFF"/>
        <w:spacing w:beforeAutospacing="0" w:afterAutospacing="0" w:line="400" w:lineRule="exact"/>
        <w:ind w:firstLine="420" w:firstLineChars="200"/>
        <w:jc w:val="both"/>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电子邮箱：</w:t>
      </w:r>
    </w:p>
    <w:p>
      <w:pPr>
        <w:pStyle w:val="34"/>
        <w:shd w:val="clear" w:color="auto" w:fill="FFFFFF"/>
        <w:spacing w:beforeAutospacing="0" w:afterAutospacing="0" w:line="400" w:lineRule="exact"/>
        <w:ind w:firstLine="420"/>
        <w:jc w:val="both"/>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 xml:space="preserve">  </w:t>
      </w:r>
    </w:p>
    <w:p>
      <w:pPr>
        <w:pStyle w:val="34"/>
        <w:shd w:val="clear" w:color="auto" w:fill="FFFFFF"/>
        <w:spacing w:beforeAutospacing="0" w:afterAutospacing="0" w:line="400" w:lineRule="exact"/>
        <w:ind w:firstLine="420" w:firstLineChars="200"/>
        <w:jc w:val="both"/>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 xml:space="preserve">乙 方（卖 方）：                        </w:t>
      </w:r>
    </w:p>
    <w:p>
      <w:pPr>
        <w:pStyle w:val="34"/>
        <w:shd w:val="clear" w:color="auto" w:fill="FFFFFF"/>
        <w:spacing w:beforeAutospacing="0" w:afterAutospacing="0" w:line="400" w:lineRule="exact"/>
        <w:ind w:firstLine="420" w:firstLineChars="200"/>
        <w:jc w:val="both"/>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法定代表人：</w:t>
      </w:r>
    </w:p>
    <w:p>
      <w:pPr>
        <w:pStyle w:val="34"/>
        <w:shd w:val="clear" w:color="auto" w:fill="FFFFFF"/>
        <w:spacing w:beforeAutospacing="0" w:afterAutospacing="0" w:line="400" w:lineRule="exact"/>
        <w:ind w:firstLine="420" w:firstLineChars="200"/>
        <w:jc w:val="both"/>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地址：</w:t>
      </w:r>
    </w:p>
    <w:p>
      <w:pPr>
        <w:pStyle w:val="34"/>
        <w:shd w:val="clear" w:color="auto" w:fill="FFFFFF"/>
        <w:spacing w:beforeAutospacing="0" w:afterAutospacing="0" w:line="400" w:lineRule="exact"/>
        <w:ind w:firstLine="420" w:firstLineChars="200"/>
        <w:jc w:val="both"/>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邮编：</w:t>
      </w:r>
    </w:p>
    <w:p>
      <w:pPr>
        <w:pStyle w:val="34"/>
        <w:shd w:val="clear" w:color="auto" w:fill="FFFFFF"/>
        <w:spacing w:beforeAutospacing="0" w:afterAutospacing="0" w:line="400" w:lineRule="exact"/>
        <w:ind w:firstLine="420" w:firstLineChars="200"/>
        <w:jc w:val="both"/>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联系人：</w:t>
      </w:r>
    </w:p>
    <w:p>
      <w:pPr>
        <w:pStyle w:val="34"/>
        <w:shd w:val="clear" w:color="auto" w:fill="FFFFFF"/>
        <w:spacing w:beforeAutospacing="0" w:afterAutospacing="0" w:line="400" w:lineRule="exact"/>
        <w:ind w:firstLine="420" w:firstLineChars="200"/>
        <w:jc w:val="both"/>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电话：</w:t>
      </w:r>
    </w:p>
    <w:p>
      <w:pPr>
        <w:pStyle w:val="34"/>
        <w:shd w:val="clear" w:color="auto" w:fill="FFFFFF"/>
        <w:spacing w:beforeAutospacing="0" w:afterAutospacing="0" w:line="400" w:lineRule="exact"/>
        <w:ind w:firstLine="420" w:firstLineChars="200"/>
        <w:jc w:val="both"/>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传真：</w:t>
      </w:r>
    </w:p>
    <w:p>
      <w:pPr>
        <w:pStyle w:val="34"/>
        <w:shd w:val="clear" w:color="auto" w:fill="FFFFFF"/>
        <w:spacing w:beforeAutospacing="0" w:afterAutospacing="0" w:line="400" w:lineRule="exact"/>
        <w:ind w:firstLine="420" w:firstLineChars="200"/>
        <w:jc w:val="both"/>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电子邮箱：</w:t>
      </w:r>
    </w:p>
    <w:p>
      <w:pPr>
        <w:pStyle w:val="34"/>
        <w:shd w:val="clear" w:color="auto" w:fill="FFFFFF"/>
        <w:spacing w:beforeAutospacing="0" w:afterAutospacing="0" w:line="400" w:lineRule="exact"/>
        <w:jc w:val="both"/>
        <w:rPr>
          <w:rFonts w:ascii="Times New Roman" w:hAnsi="Times New Roman" w:eastAsia="宋体" w:cs="Times New Roman"/>
          <w:color w:val="auto"/>
          <w:kern w:val="2"/>
          <w:sz w:val="21"/>
          <w:szCs w:val="21"/>
          <w:highlight w:val="none"/>
        </w:rPr>
      </w:pPr>
    </w:p>
    <w:p>
      <w:pPr>
        <w:pStyle w:val="34"/>
        <w:shd w:val="clear" w:color="auto" w:fill="FFFFFF"/>
        <w:spacing w:beforeAutospacing="0" w:afterAutospacing="0" w:line="440" w:lineRule="exact"/>
        <w:ind w:firstLine="482"/>
        <w:jc w:val="both"/>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经甲乙双方平等协商，本着自愿、平等、互利的原则，根据《中华人民共和国合同法》等相关法律规定，订立本合同如下：</w:t>
      </w:r>
    </w:p>
    <w:p>
      <w:pPr>
        <w:pStyle w:val="34"/>
        <w:shd w:val="clear" w:color="auto" w:fill="FFFFFF"/>
        <w:spacing w:beforeAutospacing="0" w:afterAutospacing="0" w:line="400" w:lineRule="exact"/>
        <w:ind w:firstLine="480"/>
        <w:jc w:val="both"/>
        <w:rPr>
          <w:rFonts w:ascii="Times New Roman" w:hAnsi="Times New Roman" w:eastAsia="宋体" w:cs="Times New Roman"/>
          <w:b/>
          <w:color w:val="auto"/>
          <w:kern w:val="2"/>
          <w:sz w:val="21"/>
          <w:szCs w:val="21"/>
          <w:highlight w:val="none"/>
        </w:rPr>
      </w:pPr>
      <w:r>
        <w:rPr>
          <w:rFonts w:ascii="Times New Roman" w:hAnsi="Times New Roman" w:eastAsia="宋体" w:cs="Times New Roman"/>
          <w:b/>
          <w:color w:val="auto"/>
          <w:kern w:val="2"/>
          <w:sz w:val="21"/>
          <w:szCs w:val="21"/>
          <w:highlight w:val="none"/>
        </w:rPr>
        <w:t>第一 条  货 物 名 称、品 种、规 格、质 量 和 技 术 资 料</w:t>
      </w:r>
    </w:p>
    <w:tbl>
      <w:tblPr>
        <w:tblStyle w:val="39"/>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503"/>
        <w:gridCol w:w="1550"/>
        <w:gridCol w:w="1289"/>
        <w:gridCol w:w="993"/>
        <w:gridCol w:w="845"/>
        <w:gridCol w:w="1373"/>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Cs w:val="21"/>
                <w:highlight w:val="none"/>
              </w:rPr>
            </w:pPr>
            <w:r>
              <w:rPr>
                <w:color w:val="auto"/>
                <w:szCs w:val="21"/>
                <w:highlight w:val="none"/>
              </w:rPr>
              <w:t>序号</w:t>
            </w:r>
          </w:p>
        </w:tc>
        <w:tc>
          <w:tcPr>
            <w:tcW w:w="150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Cs w:val="21"/>
                <w:highlight w:val="none"/>
              </w:rPr>
            </w:pPr>
            <w:r>
              <w:rPr>
                <w:color w:val="auto"/>
                <w:szCs w:val="21"/>
                <w:highlight w:val="none"/>
              </w:rPr>
              <w:t>货物名称</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Cs w:val="21"/>
                <w:highlight w:val="none"/>
              </w:rPr>
            </w:pPr>
            <w:r>
              <w:rPr>
                <w:color w:val="auto"/>
                <w:szCs w:val="21"/>
                <w:highlight w:val="none"/>
              </w:rPr>
              <w:t>品种/品牌</w:t>
            </w:r>
          </w:p>
        </w:tc>
        <w:tc>
          <w:tcPr>
            <w:tcW w:w="1289"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color w:val="auto"/>
                <w:szCs w:val="21"/>
                <w:highlight w:val="none"/>
              </w:rPr>
              <w:t>规格</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Cs w:val="21"/>
                <w:highlight w:val="none"/>
              </w:rPr>
            </w:pPr>
            <w:r>
              <w:rPr>
                <w:color w:val="auto"/>
                <w:szCs w:val="21"/>
                <w:highlight w:val="none"/>
              </w:rPr>
              <w:t>单位</w:t>
            </w: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Cs w:val="21"/>
                <w:highlight w:val="none"/>
              </w:rPr>
            </w:pPr>
            <w:r>
              <w:rPr>
                <w:color w:val="auto"/>
                <w:szCs w:val="21"/>
                <w:highlight w:val="none"/>
              </w:rPr>
              <w:t>数量</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Cs w:val="21"/>
                <w:highlight w:val="none"/>
              </w:rPr>
            </w:pPr>
            <w:r>
              <w:rPr>
                <w:color w:val="auto"/>
                <w:szCs w:val="21"/>
                <w:highlight w:val="none"/>
              </w:rPr>
              <w:t>单价（元）</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Cs w:val="21"/>
                <w:highlight w:val="none"/>
              </w:rPr>
            </w:pPr>
            <w:r>
              <w:rPr>
                <w:color w:val="auto"/>
                <w:szCs w:val="21"/>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Cs w:val="21"/>
                <w:highlight w:val="none"/>
              </w:rPr>
            </w:pPr>
            <w:r>
              <w:rPr>
                <w:color w:val="auto"/>
                <w:szCs w:val="21"/>
                <w:highlight w:val="none"/>
              </w:rPr>
              <w:t>1</w:t>
            </w:r>
          </w:p>
        </w:tc>
        <w:tc>
          <w:tcPr>
            <w:tcW w:w="150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Cs w:val="21"/>
                <w:highlight w:val="none"/>
              </w:rPr>
            </w:pP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Cs w:val="21"/>
                <w:highlight w:val="none"/>
              </w:rPr>
            </w:pPr>
          </w:p>
        </w:tc>
        <w:tc>
          <w:tcPr>
            <w:tcW w:w="1289"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Cs w:val="21"/>
                <w:highlight w:val="none"/>
              </w:rPr>
            </w:pP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Cs w:val="21"/>
                <w:highlight w:val="none"/>
              </w:rPr>
            </w:pP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Cs w:val="21"/>
                <w:highlight w:val="none"/>
              </w:rPr>
            </w:pP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Cs w:val="21"/>
                <w:highlight w:val="none"/>
              </w:rPr>
            </w:pPr>
            <w:r>
              <w:rPr>
                <w:color w:val="auto"/>
                <w:szCs w:val="21"/>
                <w:highlight w:val="none"/>
              </w:rPr>
              <w:t>…</w:t>
            </w:r>
          </w:p>
        </w:tc>
        <w:tc>
          <w:tcPr>
            <w:tcW w:w="150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Cs w:val="21"/>
                <w:highlight w:val="none"/>
              </w:rPr>
            </w:pP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Cs w:val="21"/>
                <w:highlight w:val="none"/>
              </w:rPr>
            </w:pPr>
          </w:p>
        </w:tc>
        <w:tc>
          <w:tcPr>
            <w:tcW w:w="1289"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Cs w:val="21"/>
                <w:highlight w:val="none"/>
              </w:rPr>
            </w:pP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Cs w:val="21"/>
                <w:highlight w:val="none"/>
              </w:rPr>
            </w:pP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Cs w:val="21"/>
                <w:highlight w:val="none"/>
              </w:rPr>
            </w:pP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Cs w:val="21"/>
                <w:highlight w:val="none"/>
              </w:rPr>
            </w:pPr>
          </w:p>
        </w:tc>
      </w:tr>
    </w:tbl>
    <w:p>
      <w:pPr>
        <w:pStyle w:val="34"/>
        <w:shd w:val="clear" w:color="auto" w:fill="FFFFFF"/>
        <w:spacing w:beforeAutospacing="0" w:afterAutospacing="0" w:line="440" w:lineRule="exact"/>
        <w:ind w:firstLine="420" w:firstLineChars="200"/>
        <w:jc w:val="both"/>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 xml:space="preserve">特别说明：                                                      </w:t>
      </w:r>
    </w:p>
    <w:p>
      <w:pPr>
        <w:pStyle w:val="34"/>
        <w:shd w:val="clear" w:color="auto" w:fill="FFFFFF"/>
        <w:spacing w:beforeAutospacing="0" w:afterAutospacing="0" w:line="440" w:lineRule="exact"/>
        <w:ind w:firstLine="420" w:firstLineChars="200"/>
        <w:jc w:val="both"/>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1. 货物的质量标准，按照下列第【  】项执行。</w:t>
      </w:r>
    </w:p>
    <w:p>
      <w:pPr>
        <w:pStyle w:val="34"/>
        <w:shd w:val="clear" w:color="auto" w:fill="FFFFFF"/>
        <w:spacing w:beforeAutospacing="0" w:afterAutospacing="0" w:line="440" w:lineRule="exact"/>
        <w:ind w:firstLine="420" w:firstLineChars="200"/>
        <w:jc w:val="both"/>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（1）按照</w:t>
      </w:r>
      <w:r>
        <w:rPr>
          <w:rFonts w:ascii="Times New Roman" w:hAnsi="Times New Roman" w:eastAsia="宋体" w:cs="Times New Roman"/>
          <w:color w:val="auto"/>
          <w:kern w:val="2"/>
          <w:sz w:val="21"/>
          <w:szCs w:val="21"/>
          <w:highlight w:val="none"/>
          <w:u w:val="single"/>
        </w:rPr>
        <w:t xml:space="preserve">            </w:t>
      </w:r>
      <w:r>
        <w:rPr>
          <w:rFonts w:ascii="Times New Roman" w:hAnsi="Times New Roman" w:eastAsia="宋体" w:cs="Times New Roman"/>
          <w:color w:val="auto"/>
          <w:kern w:val="2"/>
          <w:sz w:val="21"/>
          <w:szCs w:val="21"/>
          <w:highlight w:val="none"/>
        </w:rPr>
        <w:t>标准执行（须注明按国家标准、行业标准、企业标准，如标准代号、编号和标准名称等）。</w:t>
      </w:r>
    </w:p>
    <w:p>
      <w:pPr>
        <w:pStyle w:val="34"/>
        <w:shd w:val="clear" w:color="auto" w:fill="FFFFFF"/>
        <w:spacing w:beforeAutospacing="0" w:afterAutospacing="0" w:line="440" w:lineRule="exact"/>
        <w:ind w:firstLine="420" w:firstLineChars="200"/>
        <w:jc w:val="both"/>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（2）按样本，样本应封存于甲方</w:t>
      </w:r>
      <w:r>
        <w:rPr>
          <w:rFonts w:ascii="Times New Roman" w:hAnsi="Times New Roman" w:eastAsia="宋体" w:cs="Times New Roman"/>
          <w:color w:val="auto"/>
          <w:kern w:val="2"/>
          <w:sz w:val="21"/>
          <w:szCs w:val="21"/>
          <w:highlight w:val="none"/>
          <w:u w:val="single"/>
        </w:rPr>
        <w:t xml:space="preserve">         </w:t>
      </w:r>
      <w:r>
        <w:rPr>
          <w:rFonts w:ascii="Times New Roman" w:hAnsi="Times New Roman" w:eastAsia="宋体" w:cs="Times New Roman"/>
          <w:color w:val="auto"/>
          <w:kern w:val="2"/>
          <w:sz w:val="21"/>
          <w:szCs w:val="21"/>
          <w:highlight w:val="none"/>
        </w:rPr>
        <w:t>（注明样本封存及保管方式）。</w:t>
      </w:r>
    </w:p>
    <w:p>
      <w:pPr>
        <w:pStyle w:val="34"/>
        <w:shd w:val="clear" w:color="auto" w:fill="FFFFFF"/>
        <w:spacing w:beforeAutospacing="0" w:afterAutospacing="0" w:line="440" w:lineRule="exact"/>
        <w:ind w:firstLine="420" w:firstLineChars="200"/>
        <w:jc w:val="both"/>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（3）按双方商定的要求执行，具体见合同附件：</w:t>
      </w:r>
      <w:r>
        <w:rPr>
          <w:rFonts w:ascii="Times New Roman" w:hAnsi="Times New Roman" w:eastAsia="宋体" w:cs="Times New Roman"/>
          <w:color w:val="auto"/>
          <w:kern w:val="2"/>
          <w:sz w:val="21"/>
          <w:szCs w:val="21"/>
          <w:highlight w:val="none"/>
          <w:u w:val="single"/>
        </w:rPr>
        <w:t xml:space="preserve">               </w:t>
      </w:r>
      <w:r>
        <w:rPr>
          <w:rFonts w:ascii="Times New Roman" w:hAnsi="Times New Roman" w:eastAsia="宋体" w:cs="Times New Roman"/>
          <w:color w:val="auto"/>
          <w:kern w:val="2"/>
          <w:sz w:val="21"/>
          <w:szCs w:val="21"/>
          <w:highlight w:val="none"/>
        </w:rPr>
        <w:t xml:space="preserve"> 。</w:t>
      </w:r>
    </w:p>
    <w:p>
      <w:pPr>
        <w:pStyle w:val="34"/>
        <w:shd w:val="clear" w:color="auto" w:fill="FFFFFF"/>
        <w:spacing w:beforeAutospacing="0" w:afterAutospacing="0" w:line="440" w:lineRule="exact"/>
        <w:ind w:firstLine="420" w:firstLineChars="200"/>
        <w:jc w:val="both"/>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2. 技术资料</w:t>
      </w:r>
    </w:p>
    <w:p>
      <w:pPr>
        <w:pStyle w:val="34"/>
        <w:shd w:val="clear" w:color="auto" w:fill="FFFFFF"/>
        <w:spacing w:beforeAutospacing="0" w:afterAutospacing="0" w:line="440" w:lineRule="exact"/>
        <w:ind w:firstLine="420" w:firstLineChars="200"/>
        <w:jc w:val="both"/>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（1）乙方应将与货物相关的技术资料，包括并不限于目录索引、图纸、操作手册、使用指南、维修指南和／或服务手册和示意图等交付给甲方。</w:t>
      </w:r>
    </w:p>
    <w:p>
      <w:pPr>
        <w:pStyle w:val="34"/>
        <w:shd w:val="clear" w:color="auto" w:fill="FFFFFF"/>
        <w:spacing w:beforeAutospacing="0" w:afterAutospacing="0" w:line="440" w:lineRule="exact"/>
        <w:ind w:firstLine="420" w:firstLineChars="200"/>
        <w:jc w:val="both"/>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（2）若乙方提供的技术资料不完整或在运输过程中出现损毁，乙方应自收到甲方通知后</w:t>
      </w:r>
      <w:r>
        <w:rPr>
          <w:rFonts w:ascii="Times New Roman" w:hAnsi="Times New Roman" w:eastAsia="宋体" w:cs="Times New Roman"/>
          <w:color w:val="auto"/>
          <w:kern w:val="2"/>
          <w:sz w:val="21"/>
          <w:szCs w:val="21"/>
          <w:highlight w:val="none"/>
          <w:u w:val="single"/>
        </w:rPr>
        <w:t xml:space="preserve">   </w:t>
      </w:r>
      <w:r>
        <w:rPr>
          <w:rFonts w:ascii="Times New Roman" w:hAnsi="Times New Roman" w:eastAsia="宋体" w:cs="Times New Roman"/>
          <w:color w:val="auto"/>
          <w:kern w:val="2"/>
          <w:sz w:val="21"/>
          <w:szCs w:val="21"/>
          <w:highlight w:val="none"/>
        </w:rPr>
        <w:t>天内将完整的技术资料交付给甲方。</w:t>
      </w:r>
    </w:p>
    <w:p>
      <w:pPr>
        <w:pStyle w:val="34"/>
        <w:shd w:val="clear" w:color="auto" w:fill="FFFFFF"/>
        <w:spacing w:beforeAutospacing="0" w:afterAutospacing="0" w:line="440" w:lineRule="exact"/>
        <w:ind w:firstLine="420" w:firstLineChars="200"/>
        <w:jc w:val="both"/>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3. 货物包装物的供应</w:t>
      </w:r>
    </w:p>
    <w:p>
      <w:pPr>
        <w:pStyle w:val="34"/>
        <w:shd w:val="clear" w:color="auto" w:fill="FFFFFF"/>
        <w:spacing w:beforeAutospacing="0" w:afterAutospacing="0" w:line="440" w:lineRule="exact"/>
        <w:ind w:firstLine="420" w:firstLineChars="200"/>
        <w:jc w:val="both"/>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包装物随货物出售，由乙方负责货物包装物供应，应采用本行业通用的方式或国家标准进行包装，且该包装应符合国家有关法律、法规的规定，该包装物价格含在销售价格当中。乙方应提供货物运至合同规定的交货地点所需要的包装，以防止货物在转运中损坏或变质。这类包装应采取防潮、防晒、防锈、防腐蚀、防震动及防止其它损坏的必要保护措施，从而保护货物能够经受多次搬运、装卸及长途运输。</w:t>
      </w:r>
    </w:p>
    <w:p>
      <w:pPr>
        <w:pStyle w:val="34"/>
        <w:shd w:val="clear" w:color="auto" w:fill="FFFFFF"/>
        <w:spacing w:beforeAutospacing="0" w:afterAutospacing="0" w:line="440" w:lineRule="exact"/>
        <w:ind w:firstLine="422" w:firstLineChars="200"/>
        <w:jc w:val="both"/>
        <w:rPr>
          <w:rFonts w:ascii="Times New Roman" w:hAnsi="Times New Roman" w:eastAsia="宋体" w:cs="Times New Roman"/>
          <w:b/>
          <w:color w:val="auto"/>
          <w:kern w:val="2"/>
          <w:sz w:val="21"/>
          <w:szCs w:val="21"/>
          <w:highlight w:val="none"/>
        </w:rPr>
      </w:pPr>
      <w:r>
        <w:rPr>
          <w:rFonts w:ascii="Times New Roman" w:hAnsi="Times New Roman" w:eastAsia="宋体" w:cs="Times New Roman"/>
          <w:b/>
          <w:color w:val="auto"/>
          <w:kern w:val="2"/>
          <w:sz w:val="21"/>
          <w:szCs w:val="21"/>
          <w:highlight w:val="none"/>
        </w:rPr>
        <w:t>第 二 条  交 货 规 定</w:t>
      </w:r>
    </w:p>
    <w:p>
      <w:pPr>
        <w:pStyle w:val="34"/>
        <w:shd w:val="clear" w:color="auto" w:fill="FFFFFF"/>
        <w:spacing w:beforeAutospacing="0" w:afterAutospacing="0" w:line="440" w:lineRule="exact"/>
        <w:ind w:firstLine="420" w:firstLineChars="200"/>
        <w:jc w:val="both"/>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1. 交货方法：由乙方送货。乙方在送货前【 】天内，应向甲方报送书面的交货计划，以便甲方提前做出安排。</w:t>
      </w:r>
    </w:p>
    <w:p>
      <w:pPr>
        <w:pStyle w:val="34"/>
        <w:shd w:val="clear" w:color="auto" w:fill="FFFFFF"/>
        <w:spacing w:beforeAutospacing="0" w:afterAutospacing="0" w:line="440" w:lineRule="exact"/>
        <w:ind w:firstLine="420" w:firstLineChars="200"/>
        <w:jc w:val="both"/>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2. 运输方式：由乙方自行选择运输方式，运输及保险费用由【乙方】负担。货物交付给甲方之前，货物相关全部风险由乙方承担。</w:t>
      </w:r>
    </w:p>
    <w:p>
      <w:pPr>
        <w:pStyle w:val="34"/>
        <w:shd w:val="clear" w:color="auto" w:fill="FFFFFF"/>
        <w:spacing w:beforeAutospacing="0" w:afterAutospacing="0" w:line="440" w:lineRule="exact"/>
        <w:ind w:firstLine="420" w:firstLineChars="200"/>
        <w:jc w:val="both"/>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3. 交货地点：</w:t>
      </w:r>
      <w:r>
        <w:rPr>
          <w:rFonts w:ascii="Times New Roman" w:hAnsi="Times New Roman" w:eastAsia="宋体" w:cs="Times New Roman"/>
          <w:color w:val="auto"/>
          <w:kern w:val="2"/>
          <w:sz w:val="21"/>
          <w:szCs w:val="21"/>
          <w:highlight w:val="none"/>
          <w:u w:val="single"/>
        </w:rPr>
        <w:t xml:space="preserve">                    </w:t>
      </w:r>
      <w:r>
        <w:rPr>
          <w:rFonts w:ascii="Times New Roman" w:hAnsi="Times New Roman" w:eastAsia="宋体" w:cs="Times New Roman"/>
          <w:color w:val="auto"/>
          <w:kern w:val="2"/>
          <w:sz w:val="21"/>
          <w:szCs w:val="21"/>
          <w:highlight w:val="none"/>
        </w:rPr>
        <w:t>（甲方指定的地点）。</w:t>
      </w:r>
    </w:p>
    <w:p>
      <w:pPr>
        <w:pStyle w:val="34"/>
        <w:shd w:val="clear" w:color="auto" w:fill="FFFFFF"/>
        <w:spacing w:beforeAutospacing="0" w:afterAutospacing="0" w:line="440" w:lineRule="exact"/>
        <w:ind w:firstLine="420" w:firstLineChars="200"/>
        <w:jc w:val="both"/>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4. 交货日期：乙方应在本合同签订后【  】天内完成所有货物的交付；在甲方确认收货后【  】天内，乙方应完成所有货物的安装和调试服务工作，并附上双方约定的、记录货物相关事项的资料。</w:t>
      </w:r>
    </w:p>
    <w:p>
      <w:pPr>
        <w:pStyle w:val="34"/>
        <w:shd w:val="clear" w:color="auto" w:fill="FFFFFF"/>
        <w:spacing w:beforeAutospacing="0" w:afterAutospacing="0" w:line="440" w:lineRule="exact"/>
        <w:ind w:firstLine="420" w:firstLineChars="200"/>
        <w:jc w:val="both"/>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5. 当乙方不能按时交付全部或部分的货物，或者存在这种可能性时，乙方应及时将原因及预定交货日期书面通知给甲方，并按照甲方的指示，迅速制定必要的对策。</w:t>
      </w:r>
    </w:p>
    <w:p>
      <w:pPr>
        <w:pStyle w:val="34"/>
        <w:shd w:val="clear" w:color="auto" w:fill="FFFFFF"/>
        <w:spacing w:beforeAutospacing="0" w:afterAutospacing="0" w:line="440" w:lineRule="exact"/>
        <w:ind w:firstLine="420" w:firstLineChars="200"/>
        <w:jc w:val="both"/>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6. 所有货物交付且安装、调试完毕后【  】天内，乙方应为甲方提供现场集中培训（不少于1次，甲方不限人数），培训内容包括货物的原理、方法、管理、维护等。</w:t>
      </w:r>
    </w:p>
    <w:p>
      <w:pPr>
        <w:pStyle w:val="34"/>
        <w:shd w:val="clear" w:color="auto" w:fill="FFFFFF"/>
        <w:spacing w:beforeAutospacing="0" w:afterAutospacing="0" w:line="440" w:lineRule="exact"/>
        <w:ind w:firstLine="422" w:firstLineChars="200"/>
        <w:jc w:val="both"/>
        <w:rPr>
          <w:rFonts w:ascii="Times New Roman" w:hAnsi="Times New Roman" w:eastAsia="宋体" w:cs="Times New Roman"/>
          <w:b/>
          <w:color w:val="auto"/>
          <w:kern w:val="2"/>
          <w:sz w:val="21"/>
          <w:szCs w:val="21"/>
          <w:highlight w:val="none"/>
        </w:rPr>
      </w:pPr>
      <w:r>
        <w:rPr>
          <w:rFonts w:ascii="Times New Roman" w:hAnsi="Times New Roman" w:eastAsia="宋体" w:cs="Times New Roman"/>
          <w:b/>
          <w:color w:val="auto"/>
          <w:kern w:val="2"/>
          <w:sz w:val="21"/>
          <w:szCs w:val="21"/>
          <w:highlight w:val="none"/>
        </w:rPr>
        <w:t>第 三 条  验 收 方 法</w:t>
      </w:r>
    </w:p>
    <w:p>
      <w:pPr>
        <w:pStyle w:val="34"/>
        <w:shd w:val="clear" w:color="auto" w:fill="FFFFFF"/>
        <w:spacing w:beforeAutospacing="0" w:afterAutospacing="0" w:line="440" w:lineRule="exact"/>
        <w:ind w:firstLine="420" w:firstLineChars="200"/>
        <w:jc w:val="both"/>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1. 所有货物由乙方送到交货地点，在甲方确认收货后【  】天内，乙方应完成所有货物的安装和调试服务工作。经甲方验收合格的，签署竣工验收单，验收单一式贰份，双方各执壹份。如乙方未按约定到甲方指定地点参加检验的，应视为乙方对甲方单方检验的结果予以确认。验收标准执行合同规定的货物质量标准。</w:t>
      </w:r>
    </w:p>
    <w:p>
      <w:pPr>
        <w:pStyle w:val="34"/>
        <w:shd w:val="clear" w:color="auto" w:fill="FFFFFF"/>
        <w:spacing w:beforeAutospacing="0" w:afterAutospacing="0" w:line="440" w:lineRule="exact"/>
        <w:ind w:firstLine="420" w:firstLineChars="200"/>
        <w:jc w:val="both"/>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如发现乙方所交的货物及项目工程有任何不符合合同规定之处，应做好记录，并由双方代表签字，作为甲方向乙方提出维修或退换货的依据，乙方应在甲方提出维修、补足或更换要求之日起【 】天内进行维修、补足或更换，相关费用由乙方承担。</w:t>
      </w:r>
    </w:p>
    <w:p>
      <w:pPr>
        <w:pStyle w:val="34"/>
        <w:shd w:val="clear" w:color="auto" w:fill="FFFFFF"/>
        <w:spacing w:beforeAutospacing="0" w:afterAutospacing="0" w:line="440" w:lineRule="exact"/>
        <w:ind w:firstLine="420" w:firstLineChars="200"/>
        <w:jc w:val="both"/>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验收报告仅证明乙方所提供的货物及项目工程截至出具验收报告之日时可以按合同要求予以接受，但不能视为乙方对货物及项目工程存在的潜在缺陷所应付的责任的解除。此验收报告不作为对货物及项目工程内在质量认定的依据。</w:t>
      </w:r>
    </w:p>
    <w:p>
      <w:pPr>
        <w:pStyle w:val="34"/>
        <w:shd w:val="clear" w:color="auto" w:fill="FFFFFF"/>
        <w:spacing w:beforeAutospacing="0" w:afterAutospacing="0" w:line="440" w:lineRule="exact"/>
        <w:ind w:firstLine="420" w:firstLineChars="200"/>
        <w:jc w:val="both"/>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2. 乙方所提供的货物及项目工程应充分满足甲方使用的要求,确保供货货物的尺寸、规格、质量符合合同规定，甲方发出的询价函与乙方发出的报价书中规定的内容与合同具有同等的约束力。本合同内的货物质量保证期为【  】个月，自验收完成之日起计算。质量保证期间如货物出现质量问题，甲方有权要求乙方维修或退换货，乙方应在接到甲方通知后【 】天内免费派人维修、退换符合质量要求的货物。</w:t>
      </w:r>
    </w:p>
    <w:p>
      <w:pPr>
        <w:pStyle w:val="34"/>
        <w:shd w:val="clear" w:color="auto" w:fill="FFFFFF"/>
        <w:spacing w:beforeAutospacing="0" w:afterAutospacing="0" w:line="440" w:lineRule="exact"/>
        <w:ind w:firstLine="422" w:firstLineChars="200"/>
        <w:jc w:val="both"/>
        <w:rPr>
          <w:rFonts w:ascii="Times New Roman" w:hAnsi="Times New Roman" w:eastAsia="宋体" w:cs="Times New Roman"/>
          <w:b/>
          <w:color w:val="auto"/>
          <w:kern w:val="2"/>
          <w:sz w:val="21"/>
          <w:szCs w:val="21"/>
          <w:highlight w:val="none"/>
        </w:rPr>
      </w:pPr>
      <w:r>
        <w:rPr>
          <w:rFonts w:ascii="Times New Roman" w:hAnsi="Times New Roman" w:eastAsia="宋体" w:cs="Times New Roman"/>
          <w:b/>
          <w:color w:val="auto"/>
          <w:kern w:val="2"/>
          <w:sz w:val="21"/>
          <w:szCs w:val="21"/>
          <w:highlight w:val="none"/>
        </w:rPr>
        <w:t>第 四 条  合 同 价 格 与 支 付 方 式</w:t>
      </w:r>
    </w:p>
    <w:p>
      <w:pPr>
        <w:pStyle w:val="34"/>
        <w:shd w:val="clear" w:color="auto" w:fill="FFFFFF"/>
        <w:spacing w:beforeAutospacing="0" w:afterAutospacing="0" w:line="440" w:lineRule="exact"/>
        <w:ind w:firstLine="420" w:firstLineChars="200"/>
        <w:jc w:val="both"/>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1. 合同金额：本合同总价（已含税）为￥        （大写：          ）。</w:t>
      </w:r>
    </w:p>
    <w:p>
      <w:pPr>
        <w:pStyle w:val="34"/>
        <w:shd w:val="clear" w:color="auto" w:fill="FFFFFF"/>
        <w:spacing w:beforeAutospacing="0" w:afterAutospacing="0" w:line="440" w:lineRule="exact"/>
        <w:ind w:firstLine="420" w:firstLineChars="200"/>
        <w:jc w:val="both"/>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该价格应包含货物价格、通关费（如有）、包装费、物流费、装卸费、保险费、在甲方指定场所的安装调试费、必要的培训费以及增值税等一切费用。在乙方完全履行本合同下全部义务的情形下，除非另有书面约定，否则合同金额是甲方应当向乙方支付的全部费用。</w:t>
      </w:r>
    </w:p>
    <w:p>
      <w:pPr>
        <w:pStyle w:val="34"/>
        <w:shd w:val="clear" w:color="auto" w:fill="FFFFFF"/>
        <w:spacing w:beforeAutospacing="0" w:afterAutospacing="0" w:line="440" w:lineRule="exact"/>
        <w:ind w:firstLine="420" w:firstLineChars="200"/>
        <w:jc w:val="both"/>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2. 支付方式：</w:t>
      </w:r>
    </w:p>
    <w:p>
      <w:pPr>
        <w:pStyle w:val="11"/>
        <w:keepNext w:val="0"/>
        <w:keepLines w:val="0"/>
        <w:pageBreakBefore w:val="0"/>
        <w:widowControl/>
        <w:kinsoku/>
        <w:wordWrap/>
        <w:overflowPunct/>
        <w:topLinePunct w:val="0"/>
        <w:autoSpaceDE/>
        <w:autoSpaceDN/>
        <w:bidi w:val="0"/>
        <w:spacing w:line="440" w:lineRule="exact"/>
        <w:textAlignment w:val="auto"/>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采购合同签订前，成交供应商按合同总价款的5%向采购人缴纳履约保证金（以支票、汇票、本票或者金融机构、担保机构出具的保函等非现金形式提交）；</w:t>
      </w:r>
    </w:p>
    <w:p>
      <w:pPr>
        <w:keepNext w:val="0"/>
        <w:keepLines w:val="0"/>
        <w:pageBreakBefore w:val="0"/>
        <w:widowControl/>
        <w:kinsoku/>
        <w:wordWrap/>
        <w:overflowPunct/>
        <w:topLinePunct w:val="0"/>
        <w:autoSpaceDE/>
        <w:autoSpaceDN/>
        <w:bidi w:val="0"/>
        <w:adjustRightInd w:val="0"/>
        <w:snapToGrid w:val="0"/>
        <w:spacing w:line="440" w:lineRule="exact"/>
        <w:ind w:firstLine="420" w:firstLineChars="200"/>
        <w:textAlignment w:val="auto"/>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本项目合同签定后20个工作日内，成交供应商向采购人提交申请，采购人以转账方式向成交供应商支付合同总额的30%作为预付款；设备生产完成供方单位提供调试</w:t>
      </w:r>
      <w:r>
        <w:rPr>
          <w:rFonts w:hint="eastAsia" w:cs="Times New Roman"/>
          <w:color w:val="auto"/>
          <w:kern w:val="2"/>
          <w:sz w:val="21"/>
          <w:szCs w:val="21"/>
          <w:highlight w:val="none"/>
          <w:lang w:val="en-US" w:eastAsia="zh-CN" w:bidi="ar-SA"/>
        </w:rPr>
        <w:t>视频</w:t>
      </w:r>
      <w:r>
        <w:rPr>
          <w:rFonts w:hint="eastAsia" w:ascii="Times New Roman" w:hAnsi="Times New Roman" w:eastAsia="宋体" w:cs="Times New Roman"/>
          <w:color w:val="auto"/>
          <w:kern w:val="2"/>
          <w:sz w:val="21"/>
          <w:szCs w:val="21"/>
          <w:highlight w:val="none"/>
          <w:lang w:val="en-US" w:eastAsia="zh-CN" w:bidi="ar-SA"/>
        </w:rPr>
        <w:t>（需方可以参与），供方调试合格后</w:t>
      </w:r>
      <w:r>
        <w:rPr>
          <w:rFonts w:hint="eastAsia" w:cs="Times New Roman"/>
          <w:color w:val="auto"/>
          <w:kern w:val="2"/>
          <w:sz w:val="21"/>
          <w:szCs w:val="21"/>
          <w:highlight w:val="none"/>
          <w:lang w:val="en-US" w:eastAsia="zh-CN" w:bidi="ar-SA"/>
        </w:rPr>
        <w:t>，在</w:t>
      </w:r>
      <w:r>
        <w:rPr>
          <w:rFonts w:hint="eastAsia" w:ascii="Times New Roman" w:hAnsi="Times New Roman" w:eastAsia="宋体" w:cs="Times New Roman"/>
          <w:color w:val="auto"/>
          <w:kern w:val="2"/>
          <w:sz w:val="21"/>
          <w:szCs w:val="21"/>
          <w:highlight w:val="none"/>
          <w:lang w:val="en-US" w:eastAsia="zh-CN" w:bidi="ar-SA"/>
        </w:rPr>
        <w:t>发货前50%货款，设备在需方单位调试完成后支付15%货款，余款5%质保期后10个工作日内付清</w:t>
      </w:r>
      <w:r>
        <w:rPr>
          <w:rFonts w:ascii="Times New Roman" w:hAnsi="Times New Roman" w:eastAsia="宋体" w:cs="Times New Roman"/>
          <w:color w:val="auto"/>
          <w:kern w:val="2"/>
          <w:sz w:val="21"/>
          <w:szCs w:val="21"/>
          <w:highlight w:val="none"/>
          <w:lang w:val="en-US" w:eastAsia="zh-CN" w:bidi="ar-SA"/>
        </w:rPr>
        <w:t>。</w:t>
      </w:r>
    </w:p>
    <w:p>
      <w:pPr>
        <w:shd w:val="clear" w:color="auto" w:fill="FFFFFF"/>
        <w:suppressAutoHyphens/>
        <w:spacing w:line="400" w:lineRule="exact"/>
        <w:ind w:firstLine="482"/>
        <w:rPr>
          <w:color w:val="auto"/>
          <w:szCs w:val="21"/>
          <w:highlight w:val="none"/>
        </w:rPr>
      </w:pPr>
      <w:r>
        <w:rPr>
          <w:color w:val="auto"/>
          <w:szCs w:val="21"/>
          <w:highlight w:val="none"/>
        </w:rPr>
        <w:t>注：采购合同使用货币币制如未作特别说明均为人民币。</w:t>
      </w:r>
    </w:p>
    <w:p>
      <w:pPr>
        <w:pStyle w:val="34"/>
        <w:shd w:val="clear" w:color="auto" w:fill="FFFFFF"/>
        <w:spacing w:beforeAutospacing="0" w:afterAutospacing="0" w:line="440" w:lineRule="exact"/>
        <w:ind w:firstLine="420" w:firstLineChars="200"/>
        <w:jc w:val="both"/>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乙方的开户银行、帐户名称、银行帐号以本合同提供的为准，如有变更，乙方应在合同规定的相关付款期限十天之前以书面方式通知甲方并加盖财务专用章。如未正确依照上述规定执行而影响相关款项的支付，则由此产生的责任由乙方自负。</w:t>
      </w:r>
    </w:p>
    <w:p>
      <w:pPr>
        <w:pStyle w:val="34"/>
        <w:shd w:val="clear" w:color="auto" w:fill="FFFFFF"/>
        <w:spacing w:beforeAutospacing="0" w:afterAutospacing="0" w:line="440" w:lineRule="exact"/>
        <w:ind w:firstLine="422" w:firstLineChars="200"/>
        <w:jc w:val="both"/>
        <w:rPr>
          <w:rFonts w:ascii="Times New Roman" w:hAnsi="Times New Roman" w:eastAsia="宋体" w:cs="Times New Roman"/>
          <w:b/>
          <w:color w:val="auto"/>
          <w:kern w:val="2"/>
          <w:sz w:val="21"/>
          <w:szCs w:val="21"/>
          <w:highlight w:val="none"/>
        </w:rPr>
      </w:pPr>
      <w:r>
        <w:rPr>
          <w:rFonts w:ascii="Times New Roman" w:hAnsi="Times New Roman" w:eastAsia="宋体" w:cs="Times New Roman"/>
          <w:b/>
          <w:color w:val="auto"/>
          <w:kern w:val="2"/>
          <w:sz w:val="21"/>
          <w:szCs w:val="21"/>
          <w:highlight w:val="none"/>
        </w:rPr>
        <w:t>第 五 条  质 量 保 证 及 维 护</w:t>
      </w:r>
    </w:p>
    <w:p>
      <w:pPr>
        <w:pStyle w:val="34"/>
        <w:shd w:val="clear" w:color="auto" w:fill="FFFFFF"/>
        <w:spacing w:beforeAutospacing="0" w:afterAutospacing="0" w:line="440" w:lineRule="exact"/>
        <w:ind w:firstLine="420" w:firstLineChars="200"/>
        <w:jc w:val="both"/>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1. 质保期：验收合格之日起【  】个月为免费质保期。</w:t>
      </w:r>
    </w:p>
    <w:p>
      <w:pPr>
        <w:pStyle w:val="34"/>
        <w:shd w:val="clear" w:color="auto" w:fill="FFFFFF"/>
        <w:spacing w:beforeAutospacing="0" w:afterAutospacing="0" w:line="440" w:lineRule="exact"/>
        <w:ind w:firstLine="420" w:firstLineChars="200"/>
        <w:jc w:val="both"/>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2. 在质保期内，如果货物存在缺陷，包括潜在的、非显而易见的缺陷或使用不符合要求的材料等，甲方应在发现该情况之日起【 】天内以书面形式通知乙方，要求乙方免费更换有缺陷的货物或部件。乙方应在收到甲方通知后【 】天内免费更换有缺陷的货物或部件，相关费用由乙方承担。</w:t>
      </w:r>
    </w:p>
    <w:p>
      <w:pPr>
        <w:pStyle w:val="34"/>
        <w:shd w:val="clear" w:color="auto" w:fill="FFFFFF"/>
        <w:spacing w:beforeAutospacing="0" w:afterAutospacing="0" w:line="440" w:lineRule="exact"/>
        <w:ind w:firstLine="420" w:firstLineChars="200"/>
        <w:jc w:val="both"/>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3. 若甲方向乙方提出维修要求，乙方应在【 】个工作日内响应，在【 】个工作日内完成维修。</w:t>
      </w:r>
    </w:p>
    <w:p>
      <w:pPr>
        <w:pStyle w:val="34"/>
        <w:shd w:val="clear" w:color="auto" w:fill="FFFFFF"/>
        <w:spacing w:beforeAutospacing="0" w:afterAutospacing="0" w:line="440" w:lineRule="exact"/>
        <w:ind w:firstLine="420" w:firstLineChars="200"/>
        <w:jc w:val="both"/>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4. 如果乙方在收到通知后没有按期维修、弥补缺陷、更换货物或部件，甲方可要求乙方承担违约责任，包括但不限于退货、索赔，由此引发的风险和费用由乙方承担。</w:t>
      </w:r>
    </w:p>
    <w:p>
      <w:pPr>
        <w:pStyle w:val="34"/>
        <w:shd w:val="clear" w:color="auto" w:fill="FFFFFF"/>
        <w:spacing w:beforeAutospacing="0" w:afterAutospacing="0" w:line="440" w:lineRule="exact"/>
        <w:ind w:firstLine="420" w:firstLineChars="200"/>
        <w:jc w:val="both"/>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5. 如果乙方交付甲方的货物是来自于第三方的产品，乙方应向甲方提供其与该第三方签订的享有完全质量保证、保修和维修权利的合同文件副本。</w:t>
      </w:r>
    </w:p>
    <w:p>
      <w:pPr>
        <w:pStyle w:val="34"/>
        <w:shd w:val="clear" w:color="auto" w:fill="FFFFFF"/>
        <w:spacing w:beforeAutospacing="0" w:afterAutospacing="0" w:line="440" w:lineRule="exact"/>
        <w:ind w:firstLine="420" w:firstLineChars="200"/>
        <w:jc w:val="both"/>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6. 质保期届满后，乙方负有终身维护的义务，并承诺以最低优惠价格收取维修费。</w:t>
      </w:r>
    </w:p>
    <w:p>
      <w:pPr>
        <w:pStyle w:val="34"/>
        <w:shd w:val="clear" w:color="auto" w:fill="FFFFFF"/>
        <w:spacing w:beforeAutospacing="0" w:afterAutospacing="0" w:line="440" w:lineRule="exact"/>
        <w:ind w:firstLine="422" w:firstLineChars="200"/>
        <w:jc w:val="both"/>
        <w:rPr>
          <w:rFonts w:ascii="Times New Roman" w:hAnsi="Times New Roman" w:eastAsia="宋体" w:cs="Times New Roman"/>
          <w:b/>
          <w:color w:val="auto"/>
          <w:kern w:val="2"/>
          <w:sz w:val="21"/>
          <w:szCs w:val="21"/>
          <w:highlight w:val="none"/>
        </w:rPr>
      </w:pPr>
      <w:r>
        <w:rPr>
          <w:rFonts w:ascii="Times New Roman" w:hAnsi="Times New Roman" w:eastAsia="宋体" w:cs="Times New Roman"/>
          <w:b/>
          <w:color w:val="auto"/>
          <w:kern w:val="2"/>
          <w:sz w:val="21"/>
          <w:szCs w:val="21"/>
          <w:highlight w:val="none"/>
        </w:rPr>
        <w:t>第 六 条  权 利 侵 害 的 防 止</w:t>
      </w:r>
    </w:p>
    <w:p>
      <w:pPr>
        <w:pStyle w:val="34"/>
        <w:shd w:val="clear" w:color="auto" w:fill="FFFFFF"/>
        <w:spacing w:beforeAutospacing="0" w:afterAutospacing="0" w:line="440" w:lineRule="exact"/>
        <w:ind w:firstLine="420" w:firstLineChars="200"/>
        <w:jc w:val="both"/>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1.乙方保证，交付的商品不存在任何违反相关的法律法规、政府指令或政策等或侵犯了第三者的合法权利（包括但不限于知识产权）的情况。</w:t>
      </w:r>
    </w:p>
    <w:p>
      <w:pPr>
        <w:pStyle w:val="34"/>
        <w:shd w:val="clear" w:color="auto" w:fill="FFFFFF"/>
        <w:spacing w:beforeAutospacing="0" w:afterAutospacing="0" w:line="440" w:lineRule="exact"/>
        <w:ind w:firstLine="420" w:firstLineChars="200"/>
        <w:jc w:val="both"/>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2.如存在上述情况，乙方必须事前通知甲方，并应负责解决由此而产生的侵权纠纷。</w:t>
      </w:r>
    </w:p>
    <w:p>
      <w:pPr>
        <w:pStyle w:val="34"/>
        <w:shd w:val="clear" w:color="auto" w:fill="FFFFFF"/>
        <w:spacing w:beforeAutospacing="0" w:afterAutospacing="0" w:line="440" w:lineRule="exact"/>
        <w:ind w:firstLine="420" w:firstLineChars="200"/>
        <w:jc w:val="both"/>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3.乙方违反本条第1款的保证，而与第三方产生纠纷时，应对由此而引起的纠纷承担所有的法律责任，并承担甲方因此造成的全部损失，甲方对该纠纷不承担任何责任、损失及费用。</w:t>
      </w:r>
    </w:p>
    <w:p>
      <w:pPr>
        <w:pStyle w:val="34"/>
        <w:shd w:val="clear" w:color="auto" w:fill="FFFFFF"/>
        <w:spacing w:beforeAutospacing="0" w:afterAutospacing="0" w:line="440" w:lineRule="exact"/>
        <w:ind w:firstLine="420" w:firstLineChars="200"/>
        <w:jc w:val="both"/>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如果货物或货物的任何部分，因最终裁决构成侵权，其使用被限制，乙方应自担费用并主动做出相应的安排；或为甲方获取继续使用受指控侵权的货物或货物的某一部分的权利；或用不会造成侵权的同等技术水平的货物更换。同时，乙方应按照本合同总金额【20%】向甲方支付违约金，且不能免除乙方履行本合同的义务。</w:t>
      </w:r>
    </w:p>
    <w:p>
      <w:pPr>
        <w:pStyle w:val="34"/>
        <w:shd w:val="clear" w:color="auto" w:fill="FFFFFF"/>
        <w:spacing w:beforeAutospacing="0" w:afterAutospacing="0" w:line="440" w:lineRule="exact"/>
        <w:ind w:firstLine="422" w:firstLineChars="200"/>
        <w:jc w:val="both"/>
        <w:rPr>
          <w:rFonts w:ascii="Times New Roman" w:hAnsi="Times New Roman" w:eastAsia="宋体" w:cs="Times New Roman"/>
          <w:b/>
          <w:color w:val="auto"/>
          <w:kern w:val="2"/>
          <w:sz w:val="21"/>
          <w:szCs w:val="21"/>
          <w:highlight w:val="none"/>
        </w:rPr>
      </w:pPr>
      <w:r>
        <w:rPr>
          <w:rFonts w:ascii="Times New Roman" w:hAnsi="Times New Roman" w:eastAsia="宋体" w:cs="Times New Roman"/>
          <w:b/>
          <w:color w:val="auto"/>
          <w:kern w:val="2"/>
          <w:sz w:val="21"/>
          <w:szCs w:val="21"/>
          <w:highlight w:val="none"/>
        </w:rPr>
        <w:t>第 七 条   保 密 条 款</w:t>
      </w:r>
    </w:p>
    <w:p>
      <w:pPr>
        <w:pStyle w:val="34"/>
        <w:shd w:val="clear" w:color="auto" w:fill="FFFFFF"/>
        <w:spacing w:beforeAutospacing="0" w:afterAutospacing="0" w:line="440" w:lineRule="exact"/>
        <w:ind w:firstLine="420" w:firstLineChars="200"/>
        <w:jc w:val="both"/>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 xml:space="preserve"> 1. 无论合同是否成立，任何一方对其获知的本合同及附件中其他各方的商业秘密和国家秘密负有保密义务。</w:t>
      </w:r>
    </w:p>
    <w:p>
      <w:pPr>
        <w:pStyle w:val="34"/>
        <w:shd w:val="clear" w:color="auto" w:fill="FFFFFF"/>
        <w:spacing w:beforeAutospacing="0" w:afterAutospacing="0" w:line="440" w:lineRule="exact"/>
        <w:ind w:firstLine="420" w:firstLineChars="200"/>
        <w:jc w:val="both"/>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 xml:space="preserve"> 2. 除非法律、法规另有规定或得到本合同另一方的书面许可，任何一方不得向第三人泄露前款规定的商业秘密和国家秘密。保密期限自任何一方获知该商业秘密和国家秘密之日起至本条规定的秘密成为公众所知悉的信息之日止。</w:t>
      </w:r>
    </w:p>
    <w:p>
      <w:pPr>
        <w:pStyle w:val="34"/>
        <w:shd w:val="clear" w:color="auto" w:fill="FFFFFF"/>
        <w:spacing w:beforeAutospacing="0" w:afterAutospacing="0" w:line="440" w:lineRule="exact"/>
        <w:ind w:firstLine="422" w:firstLineChars="200"/>
        <w:jc w:val="both"/>
        <w:rPr>
          <w:rFonts w:ascii="Times New Roman" w:hAnsi="Times New Roman" w:eastAsia="宋体" w:cs="Times New Roman"/>
          <w:b/>
          <w:color w:val="auto"/>
          <w:kern w:val="2"/>
          <w:sz w:val="21"/>
          <w:szCs w:val="21"/>
          <w:highlight w:val="none"/>
        </w:rPr>
      </w:pPr>
      <w:r>
        <w:rPr>
          <w:rFonts w:ascii="Times New Roman" w:hAnsi="Times New Roman" w:eastAsia="宋体" w:cs="Times New Roman"/>
          <w:b/>
          <w:color w:val="auto"/>
          <w:kern w:val="2"/>
          <w:sz w:val="21"/>
          <w:szCs w:val="21"/>
          <w:highlight w:val="none"/>
        </w:rPr>
        <w:t>第 八 条  双 方 责 任</w:t>
      </w:r>
    </w:p>
    <w:p>
      <w:pPr>
        <w:pStyle w:val="34"/>
        <w:shd w:val="clear" w:color="auto" w:fill="FFFFFF"/>
        <w:spacing w:beforeAutospacing="0" w:afterAutospacing="0" w:line="440" w:lineRule="exact"/>
        <w:ind w:firstLine="420" w:firstLineChars="200"/>
        <w:jc w:val="both"/>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（一）甲方责任</w:t>
      </w:r>
    </w:p>
    <w:p>
      <w:pPr>
        <w:pStyle w:val="34"/>
        <w:shd w:val="clear" w:color="auto" w:fill="FFFFFF"/>
        <w:spacing w:beforeAutospacing="0" w:afterAutospacing="0" w:line="440" w:lineRule="exact"/>
        <w:ind w:firstLine="420" w:firstLineChars="200"/>
        <w:jc w:val="both"/>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1. 甲方无正当理由违反合同规定拒绝接货的，应当承担由此造成的损失。</w:t>
      </w:r>
    </w:p>
    <w:p>
      <w:pPr>
        <w:pStyle w:val="34"/>
        <w:shd w:val="clear" w:color="auto" w:fill="FFFFFF"/>
        <w:spacing w:beforeAutospacing="0" w:afterAutospacing="0" w:line="440" w:lineRule="exact"/>
        <w:ind w:firstLine="420" w:firstLineChars="200"/>
        <w:jc w:val="both"/>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2. 甲方应按规定日期向乙方付款。如果无特殊原因逾期付款，应就逾期付款部分按照中国人民银行规定的同期贷款利率向乙方支付违约金。</w:t>
      </w:r>
    </w:p>
    <w:p>
      <w:pPr>
        <w:pStyle w:val="34"/>
        <w:shd w:val="clear" w:color="auto" w:fill="FFFFFF"/>
        <w:spacing w:beforeAutospacing="0" w:afterAutospacing="0" w:line="440" w:lineRule="exact"/>
        <w:ind w:firstLine="420" w:firstLineChars="200"/>
        <w:jc w:val="both"/>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（二）乙方责任</w:t>
      </w:r>
    </w:p>
    <w:p>
      <w:pPr>
        <w:pStyle w:val="34"/>
        <w:shd w:val="clear" w:color="auto" w:fill="FFFFFF"/>
        <w:spacing w:beforeAutospacing="0" w:afterAutospacing="0" w:line="440" w:lineRule="exact"/>
        <w:ind w:firstLine="420" w:firstLineChars="200"/>
        <w:jc w:val="both"/>
        <w:rPr>
          <w:rFonts w:ascii="Times New Roman" w:hAnsi="Times New Roman" w:eastAsia="宋体" w:cs="Times New Roman"/>
          <w:color w:val="auto"/>
          <w:kern w:val="2"/>
          <w:sz w:val="21"/>
          <w:szCs w:val="21"/>
          <w:highlight w:val="none"/>
        </w:rPr>
      </w:pPr>
      <w:bookmarkStart w:id="47" w:name="_Hlk42720337"/>
      <w:r>
        <w:rPr>
          <w:rFonts w:ascii="Times New Roman" w:hAnsi="Times New Roman" w:eastAsia="宋体" w:cs="Times New Roman"/>
          <w:color w:val="auto"/>
          <w:kern w:val="2"/>
          <w:sz w:val="21"/>
          <w:szCs w:val="21"/>
          <w:highlight w:val="none"/>
        </w:rPr>
        <w:t>1.乙方未在本合同约定的期限内支付履约保证金的，甲方有权要求解除本合同或要求乙方继续履行本合同，并可要求乙方承担合同总价【20%】的违约金。</w:t>
      </w:r>
    </w:p>
    <w:bookmarkEnd w:id="47"/>
    <w:p>
      <w:pPr>
        <w:pStyle w:val="34"/>
        <w:shd w:val="clear" w:color="auto" w:fill="FFFFFF"/>
        <w:spacing w:beforeAutospacing="0" w:afterAutospacing="0" w:line="440" w:lineRule="exact"/>
        <w:ind w:firstLine="420" w:firstLineChars="200"/>
        <w:jc w:val="both"/>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2.乙方逾期交货的，每延期一天，乙方应向甲方承担合同总价【0.5%】的违约金，并承担甲方因此所受的损失费用。</w:t>
      </w:r>
    </w:p>
    <w:p>
      <w:pPr>
        <w:pStyle w:val="34"/>
        <w:shd w:val="clear" w:color="auto" w:fill="FFFFFF"/>
        <w:spacing w:beforeAutospacing="0" w:afterAutospacing="0" w:line="440" w:lineRule="exact"/>
        <w:ind w:firstLine="420" w:firstLineChars="200"/>
        <w:jc w:val="both"/>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3.乙方在合同约定的交货日期届满后【15】天内仍不能交货的，甲方有权解除合同，且乙方应向甲支付合同总价【20%】的违约金，并承担甲方因此所受的损失费用。</w:t>
      </w:r>
    </w:p>
    <w:p>
      <w:pPr>
        <w:pStyle w:val="34"/>
        <w:shd w:val="clear" w:color="auto" w:fill="FFFFFF"/>
        <w:spacing w:beforeAutospacing="0" w:afterAutospacing="0" w:line="440" w:lineRule="exact"/>
        <w:ind w:firstLine="420" w:firstLineChars="200"/>
        <w:jc w:val="both"/>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4.因乙方原因造成项目工程逾期竣工验收的，每延期一天，乙方应向甲方承担合同总价【0.5%】的违约金，并承担甲方因此所受的损失费用。</w:t>
      </w:r>
    </w:p>
    <w:p>
      <w:pPr>
        <w:pStyle w:val="34"/>
        <w:shd w:val="clear" w:color="auto" w:fill="FFFFFF"/>
        <w:spacing w:beforeAutospacing="0" w:afterAutospacing="0" w:line="440" w:lineRule="exact"/>
        <w:ind w:firstLine="420" w:firstLineChars="200"/>
        <w:jc w:val="both"/>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5. 质量保证期内，乙方每次逾期维修或退换货的，每延期一天，应按本合同总价【0.5%】向甲方支付违约金。乙方逾期维修超过【15】天的，甲方有权自行或委托第三方维修，因此发生的费用直接从预留的质保金中抵扣，不足部分甲方有权继续向乙方追偿。乙方逾期退换货超过【15】天的，甲方有权解除合同，且乙方应向甲方支付合同总价【20%】的违约金。</w:t>
      </w:r>
    </w:p>
    <w:p>
      <w:pPr>
        <w:pStyle w:val="34"/>
        <w:shd w:val="clear" w:color="auto" w:fill="FFFFFF"/>
        <w:spacing w:beforeAutospacing="0" w:afterAutospacing="0" w:line="440" w:lineRule="exact"/>
        <w:ind w:firstLine="422" w:firstLineChars="200"/>
        <w:jc w:val="both"/>
        <w:rPr>
          <w:rFonts w:ascii="Times New Roman" w:hAnsi="Times New Roman" w:eastAsia="宋体" w:cs="Times New Roman"/>
          <w:b/>
          <w:color w:val="auto"/>
          <w:kern w:val="2"/>
          <w:sz w:val="21"/>
          <w:szCs w:val="21"/>
          <w:highlight w:val="none"/>
        </w:rPr>
      </w:pPr>
      <w:r>
        <w:rPr>
          <w:rFonts w:ascii="Times New Roman" w:hAnsi="Times New Roman" w:eastAsia="宋体" w:cs="Times New Roman"/>
          <w:b/>
          <w:color w:val="auto"/>
          <w:kern w:val="2"/>
          <w:sz w:val="21"/>
          <w:szCs w:val="21"/>
          <w:highlight w:val="none"/>
        </w:rPr>
        <w:t>第 九 条  不 可 抗 力 与 责 任 免 除</w:t>
      </w:r>
    </w:p>
    <w:p>
      <w:pPr>
        <w:pStyle w:val="34"/>
        <w:shd w:val="clear" w:color="auto" w:fill="FFFFFF"/>
        <w:spacing w:beforeAutospacing="0" w:afterAutospacing="0" w:line="440" w:lineRule="exact"/>
        <w:ind w:firstLine="420" w:firstLineChars="200"/>
        <w:jc w:val="both"/>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1. 不可抗力指下列事件：战争、动乱、瘟疫、严重火灾、洪水、地震、风暴或其他自然灾害，以及本合同各方不可预见、不可防止并不能避免或克服的一切其他事件。</w:t>
      </w:r>
    </w:p>
    <w:p>
      <w:pPr>
        <w:pStyle w:val="34"/>
        <w:shd w:val="clear" w:color="auto" w:fill="FFFFFF"/>
        <w:spacing w:beforeAutospacing="0" w:afterAutospacing="0" w:line="440" w:lineRule="exact"/>
        <w:ind w:firstLine="420" w:firstLineChars="200"/>
        <w:jc w:val="both"/>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2. 任何一方因不可抗力不能履行本合同规定的全部或部分义务，该方应尽快通知另一方，并须在不可抗力发生后【5】日内以书面形式向另一方提供详细情况报告、证明材料及不可抗力对履行本合同的影响程度的说明。</w:t>
      </w:r>
    </w:p>
    <w:p>
      <w:pPr>
        <w:pStyle w:val="34"/>
        <w:shd w:val="clear" w:color="auto" w:fill="FFFFFF"/>
        <w:spacing w:beforeAutospacing="0" w:afterAutospacing="0" w:line="440" w:lineRule="exact"/>
        <w:ind w:firstLine="420" w:firstLineChars="200"/>
        <w:jc w:val="both"/>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3.合同双方应根据不可抗力对本合同履行的影响程度，协商确定是否终止本合同。</w:t>
      </w:r>
    </w:p>
    <w:p>
      <w:pPr>
        <w:pStyle w:val="34"/>
        <w:shd w:val="clear" w:color="auto" w:fill="FFFFFF"/>
        <w:spacing w:beforeAutospacing="0" w:afterAutospacing="0" w:line="440" w:lineRule="exact"/>
        <w:ind w:firstLine="420" w:firstLineChars="200"/>
        <w:jc w:val="both"/>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4．因甲方采购经费被冻结、收回或未按时划拨，致使甲方无法按合同约定期限付款的，乙方同意免除甲方逾期付款责任，双方另行协商付款期限。</w:t>
      </w:r>
    </w:p>
    <w:p>
      <w:pPr>
        <w:pStyle w:val="34"/>
        <w:shd w:val="clear" w:color="auto" w:fill="FFFFFF"/>
        <w:spacing w:beforeAutospacing="0" w:afterAutospacing="0" w:line="440" w:lineRule="exact"/>
        <w:ind w:firstLine="422" w:firstLineChars="200"/>
        <w:jc w:val="both"/>
        <w:rPr>
          <w:rFonts w:ascii="Times New Roman" w:hAnsi="Times New Roman" w:eastAsia="宋体" w:cs="Times New Roman"/>
          <w:b/>
          <w:color w:val="auto"/>
          <w:kern w:val="2"/>
          <w:sz w:val="21"/>
          <w:szCs w:val="21"/>
          <w:highlight w:val="none"/>
        </w:rPr>
      </w:pPr>
      <w:r>
        <w:rPr>
          <w:rFonts w:ascii="Times New Roman" w:hAnsi="Times New Roman" w:eastAsia="宋体" w:cs="Times New Roman"/>
          <w:b/>
          <w:color w:val="auto"/>
          <w:kern w:val="2"/>
          <w:sz w:val="21"/>
          <w:szCs w:val="21"/>
          <w:highlight w:val="none"/>
        </w:rPr>
        <w:t>第 十 条  争 议 解 决</w:t>
      </w:r>
    </w:p>
    <w:p>
      <w:pPr>
        <w:pStyle w:val="34"/>
        <w:shd w:val="clear" w:color="auto" w:fill="FFFFFF"/>
        <w:spacing w:beforeAutospacing="0" w:afterAutospacing="0" w:line="440" w:lineRule="exact"/>
        <w:ind w:firstLine="420" w:firstLineChars="200"/>
        <w:jc w:val="both"/>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因履行本合同引起的或与本合同有关的争议，双方应首先协商解决；无法协商解决的，任何一方应当通过诉讼解决。通过诉讼解决的，应当向甲方所在地人民法院提起诉讼。</w:t>
      </w:r>
    </w:p>
    <w:p>
      <w:pPr>
        <w:pStyle w:val="34"/>
        <w:shd w:val="clear" w:color="auto" w:fill="FFFFFF"/>
        <w:spacing w:beforeAutospacing="0" w:afterAutospacing="0" w:line="440" w:lineRule="exact"/>
        <w:ind w:firstLine="422" w:firstLineChars="200"/>
        <w:jc w:val="both"/>
        <w:rPr>
          <w:rFonts w:ascii="Times New Roman" w:hAnsi="Times New Roman" w:eastAsia="宋体" w:cs="Times New Roman"/>
          <w:b/>
          <w:color w:val="auto"/>
          <w:kern w:val="2"/>
          <w:sz w:val="21"/>
          <w:szCs w:val="21"/>
          <w:highlight w:val="none"/>
        </w:rPr>
      </w:pPr>
      <w:r>
        <w:rPr>
          <w:rFonts w:ascii="Times New Roman" w:hAnsi="Times New Roman" w:eastAsia="宋体" w:cs="Times New Roman"/>
          <w:b/>
          <w:color w:val="auto"/>
          <w:kern w:val="2"/>
          <w:sz w:val="21"/>
          <w:szCs w:val="21"/>
          <w:highlight w:val="none"/>
        </w:rPr>
        <w:t>第 十 一 条  合 同 的 解 释 和 法 律 适 用</w:t>
      </w:r>
    </w:p>
    <w:p>
      <w:pPr>
        <w:pStyle w:val="34"/>
        <w:shd w:val="clear" w:color="auto" w:fill="FFFFFF"/>
        <w:spacing w:beforeAutospacing="0" w:afterAutospacing="0" w:line="440" w:lineRule="exact"/>
        <w:ind w:firstLine="420" w:firstLineChars="200"/>
        <w:jc w:val="both"/>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1. 任何一方对本合同及其附件的解释均应遵循诚实信用原则,依照本合同签订时有效的中国法律、法规以及通常的理解进行。</w:t>
      </w:r>
    </w:p>
    <w:p>
      <w:pPr>
        <w:pStyle w:val="34"/>
        <w:shd w:val="clear" w:color="auto" w:fill="FFFFFF"/>
        <w:spacing w:beforeAutospacing="0" w:afterAutospacing="0" w:line="440" w:lineRule="exact"/>
        <w:ind w:firstLine="420" w:firstLineChars="200"/>
        <w:jc w:val="both"/>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2. 本合同中以“天”表述的时间期限均指自然天。</w:t>
      </w:r>
    </w:p>
    <w:p>
      <w:pPr>
        <w:pStyle w:val="34"/>
        <w:shd w:val="clear" w:color="auto" w:fill="FFFFFF"/>
        <w:spacing w:beforeAutospacing="0" w:afterAutospacing="0" w:line="440" w:lineRule="exact"/>
        <w:ind w:firstLine="420" w:firstLineChars="200"/>
        <w:jc w:val="both"/>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3. 对本合同的任何解释均应以书面作出。</w:t>
      </w:r>
    </w:p>
    <w:p>
      <w:pPr>
        <w:pStyle w:val="34"/>
        <w:shd w:val="clear" w:color="auto" w:fill="FFFFFF"/>
        <w:spacing w:beforeAutospacing="0" w:afterAutospacing="0" w:line="440" w:lineRule="exact"/>
        <w:ind w:firstLine="420" w:firstLineChars="200"/>
        <w:jc w:val="both"/>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4. 本合同及附件的订立、效力、解释、履行、争议的解决等适用本合同签订时有效的中华人民共和国法律、法规的有关规定。</w:t>
      </w:r>
    </w:p>
    <w:p>
      <w:pPr>
        <w:pStyle w:val="34"/>
        <w:shd w:val="clear" w:color="auto" w:fill="FFFFFF"/>
        <w:spacing w:beforeAutospacing="0" w:afterAutospacing="0" w:line="440" w:lineRule="exact"/>
        <w:ind w:firstLine="422" w:firstLineChars="200"/>
        <w:jc w:val="both"/>
        <w:rPr>
          <w:rFonts w:ascii="Times New Roman" w:hAnsi="Times New Roman" w:eastAsia="宋体" w:cs="Times New Roman"/>
          <w:b/>
          <w:color w:val="auto"/>
          <w:kern w:val="2"/>
          <w:sz w:val="21"/>
          <w:szCs w:val="21"/>
          <w:highlight w:val="none"/>
        </w:rPr>
      </w:pPr>
      <w:r>
        <w:rPr>
          <w:rFonts w:ascii="Times New Roman" w:hAnsi="Times New Roman" w:eastAsia="宋体" w:cs="Times New Roman"/>
          <w:b/>
          <w:color w:val="auto"/>
          <w:kern w:val="2"/>
          <w:sz w:val="21"/>
          <w:szCs w:val="21"/>
          <w:highlight w:val="none"/>
        </w:rPr>
        <w:t>第 十 二 条  送 达</w:t>
      </w:r>
    </w:p>
    <w:p>
      <w:pPr>
        <w:pStyle w:val="34"/>
        <w:shd w:val="clear" w:color="auto" w:fill="FFFFFF"/>
        <w:spacing w:beforeAutospacing="0" w:afterAutospacing="0" w:line="440" w:lineRule="exact"/>
        <w:ind w:firstLine="420" w:firstLineChars="200"/>
        <w:jc w:val="both"/>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1. 本合同项下任何一方向对方发出的通知、信件、数据电文等，应当发送至本合同文首约定的地址、联系人和通信终端。一方当事人变更名称、地址、联系人或通信终端的，应当在变更后【5】日内及时书面通知对方当事人，对方当事人实际收到变更通知前的送达仍为有效送达，电子送达与书面送达具有同等法律效力。</w:t>
      </w:r>
    </w:p>
    <w:p>
      <w:pPr>
        <w:pStyle w:val="34"/>
        <w:shd w:val="clear" w:color="auto" w:fill="FFFFFF"/>
        <w:spacing w:beforeAutospacing="0" w:afterAutospacing="0" w:line="440" w:lineRule="exact"/>
        <w:ind w:firstLine="420" w:firstLineChars="200"/>
        <w:jc w:val="both"/>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 xml:space="preserve">2. 本条第一款约定的地址、联系人及电子通信终端亦为双方工作联系往来、法律文书及争议解决时人民法院的法律文书送达地址，人民法院的诉讼文书（含裁判文书）向合同任何一方当事人的上述地址送达的，视为有效送达。当事人对电子通信终端的联系送达适用于争议解决时的送达。 </w:t>
      </w:r>
    </w:p>
    <w:p>
      <w:pPr>
        <w:pStyle w:val="34"/>
        <w:shd w:val="clear" w:color="auto" w:fill="FFFFFF"/>
        <w:spacing w:beforeAutospacing="0" w:afterAutospacing="0" w:line="440" w:lineRule="exact"/>
        <w:ind w:firstLine="420" w:firstLineChars="200"/>
        <w:jc w:val="both"/>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3. 合同送达条款与保密条款、争议解决条款均为独立条款，不受合同整体或其他条款的效力的影响。</w:t>
      </w:r>
    </w:p>
    <w:p>
      <w:pPr>
        <w:pStyle w:val="34"/>
        <w:shd w:val="clear" w:color="auto" w:fill="FFFFFF"/>
        <w:spacing w:beforeAutospacing="0" w:afterAutospacing="0" w:line="440" w:lineRule="exact"/>
        <w:ind w:firstLine="422" w:firstLineChars="200"/>
        <w:jc w:val="both"/>
        <w:rPr>
          <w:rFonts w:ascii="Times New Roman" w:hAnsi="Times New Roman" w:eastAsia="宋体" w:cs="Times New Roman"/>
          <w:b/>
          <w:color w:val="auto"/>
          <w:kern w:val="2"/>
          <w:sz w:val="21"/>
          <w:szCs w:val="21"/>
          <w:highlight w:val="none"/>
        </w:rPr>
      </w:pPr>
      <w:r>
        <w:rPr>
          <w:rFonts w:ascii="Times New Roman" w:hAnsi="Times New Roman" w:eastAsia="宋体" w:cs="Times New Roman"/>
          <w:b/>
          <w:color w:val="auto"/>
          <w:kern w:val="2"/>
          <w:sz w:val="21"/>
          <w:szCs w:val="21"/>
          <w:highlight w:val="none"/>
        </w:rPr>
        <w:t>第 十 三 条  合 同 生 效</w:t>
      </w:r>
    </w:p>
    <w:p>
      <w:pPr>
        <w:pStyle w:val="34"/>
        <w:shd w:val="clear" w:color="auto" w:fill="FFFFFF"/>
        <w:spacing w:beforeAutospacing="0" w:afterAutospacing="0" w:line="440" w:lineRule="exact"/>
        <w:ind w:firstLine="420" w:firstLineChars="200"/>
        <w:jc w:val="both"/>
        <w:rPr>
          <w:rFonts w:ascii="Times New Roman" w:hAnsi="Times New Roman" w:eastAsia="宋体" w:cs="Times New Roman"/>
          <w:color w:val="auto"/>
          <w:kern w:val="2"/>
          <w:sz w:val="21"/>
          <w:szCs w:val="21"/>
          <w:highlight w:val="none"/>
        </w:rPr>
      </w:pPr>
      <w:bookmarkStart w:id="48" w:name="_Hlk42720501"/>
      <w:r>
        <w:rPr>
          <w:rFonts w:ascii="Times New Roman" w:hAnsi="Times New Roman" w:eastAsia="宋体" w:cs="Times New Roman"/>
          <w:color w:val="auto"/>
          <w:kern w:val="2"/>
          <w:sz w:val="21"/>
          <w:szCs w:val="21"/>
          <w:highlight w:val="none"/>
        </w:rPr>
        <w:t>本合同经双方法定代表人或授权代表签字并加盖单位公章或合同章后生效。</w:t>
      </w:r>
    </w:p>
    <w:bookmarkEnd w:id="48"/>
    <w:p>
      <w:pPr>
        <w:pStyle w:val="34"/>
        <w:shd w:val="clear" w:color="auto" w:fill="FFFFFF"/>
        <w:spacing w:beforeAutospacing="0" w:afterAutospacing="0" w:line="420" w:lineRule="exact"/>
        <w:ind w:firstLine="422" w:firstLineChars="200"/>
        <w:jc w:val="both"/>
        <w:rPr>
          <w:rFonts w:ascii="Times New Roman" w:hAnsi="Times New Roman" w:eastAsia="宋体" w:cs="Times New Roman"/>
          <w:b/>
          <w:color w:val="auto"/>
          <w:kern w:val="2"/>
          <w:sz w:val="21"/>
          <w:szCs w:val="21"/>
          <w:highlight w:val="none"/>
        </w:rPr>
      </w:pPr>
      <w:r>
        <w:rPr>
          <w:rFonts w:ascii="Times New Roman" w:hAnsi="Times New Roman" w:eastAsia="宋体" w:cs="Times New Roman"/>
          <w:b/>
          <w:color w:val="auto"/>
          <w:kern w:val="2"/>
          <w:sz w:val="21"/>
          <w:szCs w:val="21"/>
          <w:highlight w:val="none"/>
        </w:rPr>
        <w:t>第 十 四 条  其 它 事 项</w:t>
      </w:r>
    </w:p>
    <w:p>
      <w:pPr>
        <w:pStyle w:val="34"/>
        <w:shd w:val="clear" w:color="auto" w:fill="FFFFFF"/>
        <w:spacing w:beforeAutospacing="0" w:afterAutospacing="0" w:line="420" w:lineRule="exact"/>
        <w:ind w:firstLine="420" w:firstLineChars="200"/>
        <w:jc w:val="both"/>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1. 合同如有未尽事宜，须经双方共同友好协商，作出补充规定，签订补充协议，补充协议与本合同具有同等效力。</w:t>
      </w:r>
    </w:p>
    <w:p>
      <w:pPr>
        <w:pStyle w:val="34"/>
        <w:shd w:val="clear" w:color="auto" w:fill="FFFFFF"/>
        <w:spacing w:beforeAutospacing="0" w:afterAutospacing="0" w:line="420" w:lineRule="exact"/>
        <w:ind w:firstLine="420" w:firstLineChars="200"/>
        <w:jc w:val="both"/>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2. 本合同附件：</w:t>
      </w:r>
      <w:r>
        <w:rPr>
          <w:rFonts w:ascii="Times New Roman" w:hAnsi="Times New Roman" w:eastAsia="宋体" w:cs="Times New Roman"/>
          <w:color w:val="auto"/>
          <w:kern w:val="2"/>
          <w:sz w:val="21"/>
          <w:szCs w:val="21"/>
          <w:highlight w:val="none"/>
          <w:u w:val="single"/>
        </w:rPr>
        <w:t xml:space="preserve">                     </w:t>
      </w:r>
      <w:r>
        <w:rPr>
          <w:rFonts w:ascii="Times New Roman" w:hAnsi="Times New Roman" w:eastAsia="宋体" w:cs="Times New Roman"/>
          <w:color w:val="auto"/>
          <w:kern w:val="2"/>
          <w:sz w:val="21"/>
          <w:szCs w:val="21"/>
          <w:highlight w:val="none"/>
        </w:rPr>
        <w:t>，为本合不可分割的组成部分，与本合同具有同等法律效力。</w:t>
      </w:r>
    </w:p>
    <w:p>
      <w:pPr>
        <w:pStyle w:val="34"/>
        <w:shd w:val="clear" w:color="auto" w:fill="FFFFFF"/>
        <w:spacing w:beforeAutospacing="0" w:afterAutospacing="0" w:line="420" w:lineRule="exact"/>
        <w:ind w:firstLine="420" w:firstLineChars="200"/>
        <w:jc w:val="both"/>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3.本合同一式</w:t>
      </w:r>
      <w:r>
        <w:rPr>
          <w:rFonts w:hint="eastAsia" w:ascii="Times New Roman" w:hAnsi="Times New Roman" w:eastAsia="宋体" w:cs="Times New Roman"/>
          <w:color w:val="auto"/>
          <w:kern w:val="2"/>
          <w:sz w:val="21"/>
          <w:szCs w:val="21"/>
          <w:highlight w:val="none"/>
          <w:lang w:val="en-US" w:eastAsia="zh-CN"/>
        </w:rPr>
        <w:t>伍</w:t>
      </w:r>
      <w:r>
        <w:rPr>
          <w:rFonts w:ascii="Times New Roman" w:hAnsi="Times New Roman" w:eastAsia="宋体" w:cs="Times New Roman"/>
          <w:color w:val="auto"/>
          <w:kern w:val="2"/>
          <w:sz w:val="21"/>
          <w:szCs w:val="21"/>
          <w:highlight w:val="none"/>
        </w:rPr>
        <w:t>份，甲方执叁份，乙方执</w:t>
      </w:r>
      <w:r>
        <w:rPr>
          <w:rFonts w:hint="eastAsia" w:ascii="Times New Roman" w:hAnsi="Times New Roman" w:eastAsia="宋体" w:cs="Times New Roman"/>
          <w:color w:val="auto"/>
          <w:kern w:val="2"/>
          <w:sz w:val="21"/>
          <w:szCs w:val="21"/>
          <w:highlight w:val="none"/>
          <w:lang w:val="en-US" w:eastAsia="zh-CN"/>
        </w:rPr>
        <w:t>贰</w:t>
      </w:r>
      <w:r>
        <w:rPr>
          <w:rFonts w:ascii="Times New Roman" w:hAnsi="Times New Roman" w:eastAsia="宋体" w:cs="Times New Roman"/>
          <w:color w:val="auto"/>
          <w:kern w:val="2"/>
          <w:sz w:val="21"/>
          <w:szCs w:val="21"/>
          <w:highlight w:val="none"/>
        </w:rPr>
        <w:t>份，具有同等法律效力。</w:t>
      </w:r>
    </w:p>
    <w:p>
      <w:pPr>
        <w:pStyle w:val="34"/>
        <w:shd w:val="clear" w:color="auto" w:fill="FFFFFF"/>
        <w:spacing w:beforeAutospacing="0" w:afterAutospacing="0" w:line="420" w:lineRule="exact"/>
        <w:ind w:firstLine="420" w:firstLineChars="200"/>
        <w:jc w:val="both"/>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（以下为签署页，无正文）</w:t>
      </w:r>
    </w:p>
    <w:p>
      <w:pPr>
        <w:pStyle w:val="34"/>
        <w:shd w:val="clear" w:color="auto" w:fill="FFFFFF"/>
        <w:spacing w:beforeAutospacing="0" w:afterAutospacing="0" w:line="400" w:lineRule="exact"/>
        <w:ind w:firstLine="3780" w:firstLineChars="1800"/>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签  署  页</w:t>
      </w:r>
    </w:p>
    <w:tbl>
      <w:tblPr>
        <w:tblStyle w:val="39"/>
        <w:tblW w:w="9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0"/>
        <w:gridCol w:w="4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0" w:type="dxa"/>
          </w:tcPr>
          <w:p>
            <w:pPr>
              <w:pStyle w:val="34"/>
              <w:shd w:val="clear" w:color="auto" w:fill="FFFFFF"/>
              <w:spacing w:beforeAutospacing="0" w:afterAutospacing="0" w:line="400" w:lineRule="exact"/>
              <w:ind w:firstLine="420" w:firstLineChars="200"/>
              <w:jc w:val="both"/>
              <w:rPr>
                <w:rFonts w:hint="eastAsia" w:ascii="Times New Roman" w:hAnsi="Times New Roman" w:eastAsia="宋体" w:cs="Times New Roman"/>
                <w:color w:val="auto"/>
                <w:kern w:val="2"/>
                <w:sz w:val="21"/>
                <w:szCs w:val="21"/>
                <w:highlight w:val="none"/>
                <w:lang w:eastAsia="zh-CN"/>
              </w:rPr>
            </w:pPr>
            <w:r>
              <w:rPr>
                <w:rFonts w:ascii="Times New Roman" w:hAnsi="Times New Roman" w:eastAsia="宋体" w:cs="Times New Roman"/>
                <w:color w:val="auto"/>
                <w:kern w:val="2"/>
                <w:sz w:val="21"/>
                <w:szCs w:val="21"/>
                <w:highlight w:val="none"/>
              </w:rPr>
              <w:t>甲方：(章)</w:t>
            </w:r>
            <w:r>
              <w:rPr>
                <w:rFonts w:hint="eastAsia" w:ascii="Times New Roman" w:hAnsi="Times New Roman" w:eastAsia="宋体" w:cs="Times New Roman"/>
                <w:color w:val="auto"/>
                <w:kern w:val="2"/>
                <w:sz w:val="21"/>
                <w:szCs w:val="21"/>
                <w:highlight w:val="none"/>
                <w:lang w:eastAsia="zh-CN"/>
              </w:rPr>
              <w:t>哈尔滨工业大学重庆研究院</w:t>
            </w:r>
          </w:p>
          <w:p>
            <w:pPr>
              <w:pStyle w:val="34"/>
              <w:shd w:val="clear" w:color="auto" w:fill="FFFFFF"/>
              <w:spacing w:beforeAutospacing="0" w:afterAutospacing="0" w:line="400" w:lineRule="exact"/>
              <w:ind w:firstLine="420" w:firstLineChars="200"/>
              <w:jc w:val="both"/>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地址：</w:t>
            </w:r>
          </w:p>
          <w:p>
            <w:pPr>
              <w:pStyle w:val="34"/>
              <w:shd w:val="clear" w:color="auto" w:fill="FFFFFF"/>
              <w:spacing w:beforeAutospacing="0" w:afterAutospacing="0" w:line="400" w:lineRule="exact"/>
              <w:ind w:firstLine="420" w:firstLineChars="200"/>
              <w:jc w:val="both"/>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法定代表人或授权代表人：</w:t>
            </w:r>
          </w:p>
          <w:p>
            <w:pPr>
              <w:pStyle w:val="34"/>
              <w:shd w:val="clear" w:color="auto" w:fill="FFFFFF"/>
              <w:spacing w:beforeAutospacing="0" w:afterAutospacing="0" w:line="400" w:lineRule="exact"/>
              <w:ind w:firstLine="420" w:firstLineChars="200"/>
              <w:jc w:val="both"/>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 xml:space="preserve">项目负责人：    </w:t>
            </w:r>
          </w:p>
          <w:p>
            <w:pPr>
              <w:pStyle w:val="34"/>
              <w:shd w:val="clear" w:color="auto" w:fill="FFFFFF"/>
              <w:spacing w:beforeAutospacing="0" w:afterAutospacing="0" w:line="400" w:lineRule="exact"/>
              <w:ind w:firstLine="420" w:firstLineChars="200"/>
              <w:jc w:val="both"/>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开户银行：</w:t>
            </w:r>
          </w:p>
          <w:p>
            <w:pPr>
              <w:pStyle w:val="34"/>
              <w:shd w:val="clear" w:color="auto" w:fill="FFFFFF"/>
              <w:spacing w:beforeAutospacing="0" w:afterAutospacing="0" w:line="400" w:lineRule="exact"/>
              <w:ind w:firstLine="420" w:firstLineChars="200"/>
              <w:jc w:val="both"/>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银行账号：</w:t>
            </w:r>
          </w:p>
          <w:p>
            <w:pPr>
              <w:pStyle w:val="34"/>
              <w:shd w:val="clear" w:color="auto" w:fill="FFFFFF"/>
              <w:spacing w:beforeAutospacing="0" w:afterAutospacing="0" w:line="400" w:lineRule="exact"/>
              <w:ind w:firstLine="420" w:firstLineChars="200"/>
              <w:jc w:val="both"/>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 xml:space="preserve">税号：    </w:t>
            </w:r>
          </w:p>
          <w:p>
            <w:pPr>
              <w:pStyle w:val="34"/>
              <w:shd w:val="clear" w:color="auto" w:fill="FFFFFF"/>
              <w:spacing w:beforeAutospacing="0" w:afterAutospacing="0" w:line="400" w:lineRule="exact"/>
              <w:ind w:firstLine="420" w:firstLineChars="200"/>
              <w:jc w:val="both"/>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 xml:space="preserve">电话、传真：                 </w:t>
            </w:r>
          </w:p>
          <w:p>
            <w:pPr>
              <w:pStyle w:val="34"/>
              <w:shd w:val="clear" w:color="auto" w:fill="FFFFFF"/>
              <w:spacing w:beforeAutospacing="0" w:afterAutospacing="0" w:line="400" w:lineRule="exact"/>
              <w:ind w:firstLine="420" w:firstLineChars="200"/>
              <w:jc w:val="both"/>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 xml:space="preserve">邮政编码：  </w:t>
            </w:r>
          </w:p>
          <w:p>
            <w:pPr>
              <w:pStyle w:val="34"/>
              <w:shd w:val="clear" w:color="auto" w:fill="FFFFFF"/>
              <w:spacing w:beforeAutospacing="0" w:afterAutospacing="0" w:line="400" w:lineRule="exact"/>
              <w:ind w:firstLine="420" w:firstLineChars="200"/>
              <w:jc w:val="both"/>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 xml:space="preserve">签订日期（甲方）：  </w:t>
            </w:r>
          </w:p>
          <w:p>
            <w:pPr>
              <w:pStyle w:val="34"/>
              <w:shd w:val="clear" w:color="auto" w:fill="FFFFFF"/>
              <w:spacing w:beforeAutospacing="0" w:afterAutospacing="0" w:line="400" w:lineRule="exact"/>
              <w:ind w:firstLine="420" w:firstLineChars="200"/>
              <w:jc w:val="both"/>
              <w:rPr>
                <w:rFonts w:ascii="Times New Roman" w:hAnsi="Times New Roman" w:eastAsia="宋体" w:cs="Times New Roman"/>
                <w:color w:val="auto"/>
                <w:kern w:val="2"/>
                <w:sz w:val="21"/>
                <w:szCs w:val="21"/>
                <w:highlight w:val="none"/>
              </w:rPr>
            </w:pPr>
          </w:p>
        </w:tc>
        <w:tc>
          <w:tcPr>
            <w:tcW w:w="4246" w:type="dxa"/>
          </w:tcPr>
          <w:p>
            <w:pPr>
              <w:pStyle w:val="34"/>
              <w:shd w:val="clear" w:color="auto" w:fill="FFFFFF"/>
              <w:spacing w:beforeAutospacing="0" w:afterAutospacing="0" w:line="400" w:lineRule="exact"/>
              <w:ind w:firstLine="420" w:firstLineChars="200"/>
              <w:jc w:val="both"/>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 xml:space="preserve">乙方：(章)                         </w:t>
            </w:r>
          </w:p>
          <w:p>
            <w:pPr>
              <w:pStyle w:val="34"/>
              <w:shd w:val="clear" w:color="auto" w:fill="FFFFFF"/>
              <w:spacing w:beforeAutospacing="0" w:afterAutospacing="0" w:line="400" w:lineRule="exact"/>
              <w:ind w:firstLine="420" w:firstLineChars="200"/>
              <w:jc w:val="both"/>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 xml:space="preserve">地址：                             </w:t>
            </w:r>
          </w:p>
          <w:p>
            <w:pPr>
              <w:pStyle w:val="34"/>
              <w:shd w:val="clear" w:color="auto" w:fill="FFFFFF"/>
              <w:spacing w:beforeAutospacing="0" w:afterAutospacing="0" w:line="400" w:lineRule="exact"/>
              <w:ind w:firstLine="420" w:firstLineChars="200"/>
              <w:jc w:val="both"/>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 xml:space="preserve">法定代表人或授权代表人：    </w:t>
            </w:r>
          </w:p>
          <w:p>
            <w:pPr>
              <w:pStyle w:val="34"/>
              <w:shd w:val="clear" w:color="auto" w:fill="FFFFFF"/>
              <w:spacing w:beforeAutospacing="0" w:afterAutospacing="0" w:line="400" w:lineRule="exact"/>
              <w:ind w:firstLine="420" w:firstLineChars="200"/>
              <w:jc w:val="both"/>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 xml:space="preserve">项目负责人：    </w:t>
            </w:r>
          </w:p>
          <w:p>
            <w:pPr>
              <w:pStyle w:val="34"/>
              <w:shd w:val="clear" w:color="auto" w:fill="FFFFFF"/>
              <w:spacing w:beforeAutospacing="0" w:afterAutospacing="0" w:line="400" w:lineRule="exact"/>
              <w:ind w:firstLine="420" w:firstLineChars="200"/>
              <w:jc w:val="both"/>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 xml:space="preserve">开户银行：                         </w:t>
            </w:r>
          </w:p>
          <w:p>
            <w:pPr>
              <w:pStyle w:val="34"/>
              <w:shd w:val="clear" w:color="auto" w:fill="FFFFFF"/>
              <w:spacing w:beforeAutospacing="0" w:afterAutospacing="0" w:line="400" w:lineRule="exact"/>
              <w:ind w:firstLine="420" w:firstLineChars="200"/>
              <w:jc w:val="both"/>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 xml:space="preserve">银行账号：                         </w:t>
            </w:r>
          </w:p>
          <w:p>
            <w:pPr>
              <w:pStyle w:val="34"/>
              <w:shd w:val="clear" w:color="auto" w:fill="FFFFFF"/>
              <w:spacing w:beforeAutospacing="0" w:afterAutospacing="0" w:line="400" w:lineRule="exact"/>
              <w:ind w:firstLine="420" w:firstLineChars="200"/>
              <w:jc w:val="both"/>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 xml:space="preserve">税号：                             </w:t>
            </w:r>
          </w:p>
          <w:p>
            <w:pPr>
              <w:pStyle w:val="34"/>
              <w:shd w:val="clear" w:color="auto" w:fill="FFFFFF"/>
              <w:spacing w:beforeAutospacing="0" w:afterAutospacing="0" w:line="400" w:lineRule="exact"/>
              <w:ind w:firstLine="420" w:firstLineChars="200"/>
              <w:jc w:val="both"/>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 xml:space="preserve">电话、传真：                 </w:t>
            </w:r>
          </w:p>
          <w:p>
            <w:pPr>
              <w:pStyle w:val="34"/>
              <w:shd w:val="clear" w:color="auto" w:fill="FFFFFF"/>
              <w:spacing w:beforeAutospacing="0" w:afterAutospacing="0" w:line="400" w:lineRule="exact"/>
              <w:ind w:firstLine="420" w:firstLineChars="200"/>
              <w:jc w:val="both"/>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 xml:space="preserve">邮政编码：  </w:t>
            </w:r>
          </w:p>
          <w:p>
            <w:pPr>
              <w:pStyle w:val="34"/>
              <w:shd w:val="clear" w:color="auto" w:fill="FFFFFF"/>
              <w:spacing w:beforeAutospacing="0" w:afterAutospacing="0" w:line="400" w:lineRule="exact"/>
              <w:ind w:firstLine="420" w:firstLineChars="200"/>
              <w:jc w:val="both"/>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 xml:space="preserve">签订日期（乙方）：  </w:t>
            </w:r>
          </w:p>
          <w:p>
            <w:pPr>
              <w:pStyle w:val="34"/>
              <w:shd w:val="clear" w:color="auto" w:fill="FFFFFF"/>
              <w:spacing w:beforeAutospacing="0" w:afterAutospacing="0" w:line="400" w:lineRule="exact"/>
              <w:ind w:firstLine="420" w:firstLineChars="200"/>
              <w:jc w:val="both"/>
              <w:rPr>
                <w:rFonts w:ascii="Times New Roman" w:hAnsi="Times New Roman" w:eastAsia="宋体" w:cs="Times New Roman"/>
                <w:color w:val="auto"/>
                <w:kern w:val="2"/>
                <w:sz w:val="21"/>
                <w:szCs w:val="21"/>
                <w:highlight w:val="none"/>
              </w:rPr>
            </w:pPr>
          </w:p>
        </w:tc>
      </w:tr>
    </w:tbl>
    <w:p>
      <w:pPr>
        <w:pStyle w:val="34"/>
        <w:shd w:val="clear" w:color="auto" w:fill="FFFFFF"/>
        <w:spacing w:beforeAutospacing="0" w:afterAutospacing="0" w:line="400" w:lineRule="exact"/>
        <w:ind w:firstLine="420" w:firstLineChars="200"/>
        <w:jc w:val="both"/>
        <w:rPr>
          <w:rFonts w:ascii="Times New Roman" w:hAnsi="Times New Roman" w:eastAsia="宋体" w:cs="Times New Roman"/>
          <w:color w:val="auto"/>
          <w:kern w:val="2"/>
          <w:sz w:val="21"/>
          <w:szCs w:val="21"/>
          <w:highlight w:val="none"/>
        </w:rPr>
      </w:pPr>
    </w:p>
    <w:p>
      <w:pPr>
        <w:pStyle w:val="34"/>
        <w:shd w:val="clear" w:color="auto" w:fill="FFFFFF"/>
        <w:spacing w:beforeAutospacing="0" w:afterAutospacing="0" w:line="400" w:lineRule="exact"/>
        <w:ind w:firstLine="420" w:firstLineChars="200"/>
        <w:jc w:val="both"/>
        <w:rPr>
          <w:rFonts w:ascii="Times New Roman" w:hAnsi="Times New Roman" w:eastAsia="宋体" w:cs="Times New Roman"/>
          <w:color w:val="auto"/>
          <w:kern w:val="2"/>
          <w:sz w:val="21"/>
          <w:szCs w:val="21"/>
          <w:highlight w:val="none"/>
        </w:rPr>
      </w:pPr>
    </w:p>
    <w:p>
      <w:pPr>
        <w:pStyle w:val="34"/>
        <w:shd w:val="clear" w:color="auto" w:fill="FFFFFF"/>
        <w:spacing w:beforeAutospacing="0" w:afterAutospacing="0" w:line="400" w:lineRule="exact"/>
        <w:ind w:firstLine="420" w:firstLineChars="200"/>
        <w:jc w:val="both"/>
        <w:rPr>
          <w:rFonts w:ascii="Times New Roman" w:hAnsi="Times New Roman" w:eastAsia="宋体" w:cs="Times New Roman"/>
          <w:color w:val="auto"/>
          <w:kern w:val="2"/>
          <w:sz w:val="21"/>
          <w:szCs w:val="21"/>
          <w:highlight w:val="none"/>
        </w:rPr>
      </w:pPr>
    </w:p>
    <w:p>
      <w:pPr>
        <w:pStyle w:val="34"/>
        <w:shd w:val="clear" w:color="auto" w:fill="FFFFFF"/>
        <w:spacing w:beforeAutospacing="0" w:afterAutospacing="0" w:line="400" w:lineRule="exact"/>
        <w:ind w:firstLine="420" w:firstLineChars="200"/>
        <w:jc w:val="both"/>
        <w:rPr>
          <w:rFonts w:ascii="Times New Roman" w:hAnsi="Times New Roman" w:eastAsia="宋体" w:cs="Times New Roman"/>
          <w:color w:val="auto"/>
          <w:kern w:val="2"/>
          <w:sz w:val="21"/>
          <w:szCs w:val="21"/>
          <w:highlight w:val="none"/>
        </w:rPr>
      </w:pPr>
    </w:p>
    <w:p>
      <w:pPr>
        <w:pStyle w:val="34"/>
        <w:shd w:val="clear" w:color="auto" w:fill="FFFFFF"/>
        <w:spacing w:beforeAutospacing="0" w:afterAutospacing="0" w:line="400" w:lineRule="exact"/>
        <w:ind w:firstLine="420" w:firstLineChars="200"/>
        <w:jc w:val="both"/>
        <w:rPr>
          <w:rFonts w:ascii="Times New Roman" w:hAnsi="Times New Roman" w:eastAsia="宋体" w:cs="Times New Roman"/>
          <w:color w:val="auto"/>
          <w:kern w:val="2"/>
          <w:sz w:val="21"/>
          <w:szCs w:val="21"/>
          <w:highlight w:val="none"/>
        </w:rPr>
      </w:pPr>
    </w:p>
    <w:p>
      <w:pPr>
        <w:pStyle w:val="34"/>
        <w:shd w:val="clear" w:color="auto" w:fill="FFFFFF"/>
        <w:spacing w:beforeAutospacing="0" w:afterAutospacing="0" w:line="400" w:lineRule="exact"/>
        <w:ind w:firstLine="420" w:firstLineChars="200"/>
        <w:jc w:val="both"/>
        <w:rPr>
          <w:rFonts w:ascii="Times New Roman" w:hAnsi="Times New Roman" w:eastAsia="宋体" w:cs="Times New Roman"/>
          <w:color w:val="auto"/>
          <w:kern w:val="2"/>
          <w:sz w:val="21"/>
          <w:szCs w:val="21"/>
          <w:highlight w:val="none"/>
        </w:rPr>
      </w:pPr>
    </w:p>
    <w:p>
      <w:pPr>
        <w:pStyle w:val="34"/>
        <w:shd w:val="clear" w:color="auto" w:fill="FFFFFF"/>
        <w:spacing w:beforeAutospacing="0" w:afterAutospacing="0" w:line="400" w:lineRule="exact"/>
        <w:ind w:firstLine="420" w:firstLineChars="200"/>
        <w:jc w:val="both"/>
        <w:rPr>
          <w:rFonts w:ascii="Times New Roman" w:hAnsi="Times New Roman" w:eastAsia="宋体" w:cs="Times New Roman"/>
          <w:color w:val="auto"/>
          <w:kern w:val="2"/>
          <w:sz w:val="21"/>
          <w:szCs w:val="21"/>
          <w:highlight w:val="none"/>
        </w:rPr>
      </w:pPr>
    </w:p>
    <w:p>
      <w:pPr>
        <w:pStyle w:val="34"/>
        <w:shd w:val="clear" w:color="auto" w:fill="FFFFFF"/>
        <w:spacing w:beforeAutospacing="0" w:afterAutospacing="0" w:line="400" w:lineRule="exact"/>
        <w:ind w:firstLine="420" w:firstLineChars="200"/>
        <w:jc w:val="both"/>
        <w:rPr>
          <w:rFonts w:ascii="Times New Roman" w:hAnsi="Times New Roman" w:eastAsia="宋体" w:cs="Times New Roman"/>
          <w:color w:val="auto"/>
          <w:kern w:val="2"/>
          <w:sz w:val="21"/>
          <w:szCs w:val="21"/>
          <w:highlight w:val="none"/>
        </w:rPr>
      </w:pPr>
    </w:p>
    <w:p>
      <w:pPr>
        <w:rPr>
          <w:b/>
          <w:color w:val="auto"/>
          <w:sz w:val="24"/>
          <w:highlight w:val="none"/>
        </w:rPr>
      </w:pPr>
      <w:r>
        <w:rPr>
          <w:b/>
          <w:color w:val="auto"/>
          <w:sz w:val="24"/>
          <w:highlight w:val="none"/>
        </w:rPr>
        <w:br w:type="page"/>
      </w:r>
    </w:p>
    <w:p>
      <w:pPr>
        <w:tabs>
          <w:tab w:val="left" w:pos="8040"/>
        </w:tabs>
        <w:autoSpaceDE w:val="0"/>
        <w:autoSpaceDN w:val="0"/>
        <w:adjustRightInd w:val="0"/>
        <w:spacing w:line="360" w:lineRule="auto"/>
        <w:ind w:right="-23" w:firstLine="482" w:firstLineChars="200"/>
        <w:jc w:val="center"/>
        <w:rPr>
          <w:b/>
          <w:color w:val="auto"/>
          <w:sz w:val="24"/>
          <w:highlight w:val="none"/>
        </w:rPr>
      </w:pPr>
    </w:p>
    <w:bookmarkEnd w:id="46"/>
    <w:p>
      <w:pPr>
        <w:pStyle w:val="2"/>
        <w:keepLines w:val="0"/>
        <w:widowControl w:val="0"/>
        <w:tabs>
          <w:tab w:val="left" w:pos="1530"/>
          <w:tab w:val="left" w:pos="3360"/>
          <w:tab w:val="left" w:pos="8052"/>
        </w:tabs>
        <w:adjustRightInd/>
        <w:spacing w:line="480" w:lineRule="auto"/>
        <w:ind w:left="1531" w:hanging="1531"/>
        <w:rPr>
          <w:rFonts w:eastAsia="宋体"/>
          <w:bCs w:val="0"/>
          <w:color w:val="auto"/>
          <w:kern w:val="2"/>
          <w:szCs w:val="36"/>
          <w:highlight w:val="none"/>
        </w:rPr>
      </w:pPr>
      <w:bookmarkStart w:id="49" w:name="_Toc10213449"/>
      <w:r>
        <w:rPr>
          <w:rFonts w:eastAsia="宋体"/>
          <w:bCs w:val="0"/>
          <w:color w:val="auto"/>
          <w:kern w:val="2"/>
          <w:szCs w:val="36"/>
          <w:highlight w:val="none"/>
        </w:rPr>
        <w:t>第四章 技术服务需求及说明</w:t>
      </w:r>
      <w:bookmarkEnd w:id="49"/>
    </w:p>
    <w:p>
      <w:pPr>
        <w:widowControl w:val="0"/>
        <w:adjustRightInd w:val="0"/>
        <w:snapToGrid w:val="0"/>
        <w:spacing w:line="440" w:lineRule="exact"/>
        <w:rPr>
          <w:b/>
          <w:color w:val="auto"/>
          <w:sz w:val="24"/>
          <w:highlight w:val="none"/>
        </w:rPr>
      </w:pPr>
      <w:r>
        <w:rPr>
          <w:b/>
          <w:color w:val="auto"/>
          <w:sz w:val="24"/>
          <w:highlight w:val="none"/>
        </w:rPr>
        <w:t>一、采购项目一览表</w:t>
      </w:r>
    </w:p>
    <w:tbl>
      <w:tblPr>
        <w:tblStyle w:val="39"/>
        <w:tblW w:w="78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2654"/>
        <w:gridCol w:w="735"/>
        <w:gridCol w:w="1080"/>
        <w:gridCol w:w="2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93"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jc w:val="center"/>
              <w:rPr>
                <w:color w:val="auto"/>
                <w:sz w:val="18"/>
                <w:szCs w:val="18"/>
                <w:highlight w:val="none"/>
              </w:rPr>
            </w:pPr>
            <w:r>
              <w:rPr>
                <w:color w:val="auto"/>
                <w:sz w:val="18"/>
                <w:szCs w:val="18"/>
                <w:highlight w:val="none"/>
              </w:rPr>
              <w:t>序号</w:t>
            </w:r>
          </w:p>
        </w:tc>
        <w:tc>
          <w:tcPr>
            <w:tcW w:w="2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color w:val="auto"/>
                <w:sz w:val="18"/>
                <w:szCs w:val="18"/>
                <w:highlight w:val="none"/>
              </w:rPr>
            </w:pPr>
            <w:r>
              <w:rPr>
                <w:rFonts w:hint="eastAsia" w:ascii="Times New Roman" w:hAnsi="Times New Roman" w:eastAsia="宋体" w:cs="Times New Roman"/>
                <w:color w:val="auto"/>
                <w:kern w:val="0"/>
                <w:szCs w:val="21"/>
                <w:highlight w:val="none"/>
                <w:shd w:val="clear" w:color="auto" w:fill="FFFFFF"/>
              </w:rPr>
              <w:t>产品名称（设备名称）</w:t>
            </w:r>
          </w:p>
        </w:tc>
        <w:tc>
          <w:tcPr>
            <w:tcW w:w="7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color w:val="auto"/>
                <w:sz w:val="18"/>
                <w:szCs w:val="18"/>
                <w:highlight w:val="none"/>
              </w:rPr>
            </w:pPr>
            <w:r>
              <w:rPr>
                <w:color w:val="auto"/>
                <w:sz w:val="18"/>
                <w:szCs w:val="18"/>
                <w:highlight w:val="none"/>
              </w:rPr>
              <w:t>单位</w:t>
            </w: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color w:val="auto"/>
                <w:sz w:val="18"/>
                <w:szCs w:val="18"/>
                <w:highlight w:val="none"/>
              </w:rPr>
            </w:pPr>
            <w:r>
              <w:rPr>
                <w:color w:val="auto"/>
                <w:sz w:val="18"/>
                <w:szCs w:val="18"/>
                <w:highlight w:val="none"/>
              </w:rPr>
              <w:t>数量</w:t>
            </w:r>
          </w:p>
        </w:tc>
        <w:tc>
          <w:tcPr>
            <w:tcW w:w="2650"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jc w:val="center"/>
              <w:rPr>
                <w:color w:val="auto"/>
                <w:sz w:val="18"/>
                <w:szCs w:val="18"/>
                <w:highlight w:val="none"/>
              </w:rPr>
            </w:pPr>
            <w:r>
              <w:rPr>
                <w:color w:val="auto"/>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exact"/>
          <w:jc w:val="center"/>
        </w:trPr>
        <w:tc>
          <w:tcPr>
            <w:tcW w:w="693"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440" w:lineRule="exact"/>
              <w:rPr>
                <w:color w:val="auto"/>
                <w:sz w:val="18"/>
                <w:szCs w:val="18"/>
                <w:highlight w:val="none"/>
              </w:rPr>
            </w:pPr>
          </w:p>
          <w:p>
            <w:pPr>
              <w:widowControl w:val="0"/>
              <w:adjustRightInd w:val="0"/>
              <w:snapToGrid w:val="0"/>
              <w:spacing w:line="440" w:lineRule="exact"/>
              <w:rPr>
                <w:color w:val="auto"/>
                <w:sz w:val="18"/>
                <w:szCs w:val="18"/>
                <w:highlight w:val="none"/>
              </w:rPr>
            </w:pPr>
          </w:p>
          <w:p>
            <w:pPr>
              <w:widowControl w:val="0"/>
              <w:adjustRightInd w:val="0"/>
              <w:snapToGrid w:val="0"/>
              <w:spacing w:line="440" w:lineRule="exact"/>
              <w:jc w:val="center"/>
              <w:rPr>
                <w:rFonts w:hint="eastAsia" w:ascii="Times New Roman" w:hAnsi="Times New Roman" w:eastAsia="宋体" w:cs="Times New Roman"/>
                <w:color w:val="auto"/>
                <w:kern w:val="0"/>
                <w:szCs w:val="21"/>
                <w:highlight w:val="none"/>
                <w:shd w:val="clear" w:color="auto" w:fill="FFFFFF"/>
                <w:lang w:val="en-US" w:eastAsia="zh-CN"/>
              </w:rPr>
            </w:pPr>
            <w:r>
              <w:rPr>
                <w:rFonts w:hint="eastAsia" w:ascii="Times New Roman" w:hAnsi="Times New Roman" w:eastAsia="宋体" w:cs="Times New Roman"/>
                <w:color w:val="auto"/>
                <w:kern w:val="0"/>
                <w:szCs w:val="21"/>
                <w:highlight w:val="none"/>
                <w:shd w:val="clear" w:color="auto" w:fill="FFFFFF"/>
                <w:lang w:val="en-US" w:eastAsia="zh-CN"/>
              </w:rPr>
              <w:t>1</w:t>
            </w:r>
          </w:p>
          <w:p>
            <w:pPr>
              <w:widowControl w:val="0"/>
              <w:adjustRightInd w:val="0"/>
              <w:snapToGrid w:val="0"/>
              <w:spacing w:line="440" w:lineRule="exact"/>
              <w:rPr>
                <w:color w:val="auto"/>
                <w:sz w:val="18"/>
                <w:szCs w:val="18"/>
                <w:highlight w:val="none"/>
              </w:rPr>
            </w:pPr>
          </w:p>
          <w:p>
            <w:pPr>
              <w:widowControl w:val="0"/>
              <w:adjustRightInd w:val="0"/>
              <w:snapToGrid w:val="0"/>
              <w:spacing w:line="440" w:lineRule="exact"/>
              <w:ind w:firstLine="180" w:firstLineChars="100"/>
              <w:rPr>
                <w:color w:val="auto"/>
                <w:sz w:val="18"/>
                <w:szCs w:val="18"/>
                <w:highlight w:val="none"/>
              </w:rPr>
            </w:pPr>
            <w:r>
              <w:rPr>
                <w:color w:val="auto"/>
                <w:sz w:val="18"/>
                <w:szCs w:val="18"/>
                <w:highlight w:val="none"/>
              </w:rPr>
              <w:t>1</w:t>
            </w:r>
          </w:p>
        </w:tc>
        <w:tc>
          <w:tcPr>
            <w:tcW w:w="2654"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440" w:lineRule="exact"/>
              <w:jc w:val="center"/>
              <w:rPr>
                <w:color w:val="auto"/>
                <w:kern w:val="0"/>
                <w:szCs w:val="21"/>
                <w:highlight w:val="none"/>
                <w:shd w:val="clear" w:color="auto" w:fill="FFFFFF"/>
              </w:rPr>
            </w:pPr>
            <w:r>
              <w:rPr>
                <w:rFonts w:hint="eastAsia" w:ascii="Times New Roman" w:hAnsi="Times New Roman" w:eastAsia="宋体" w:cs="Times New Roman"/>
                <w:color w:val="auto"/>
                <w:kern w:val="0"/>
                <w:szCs w:val="21"/>
                <w:highlight w:val="none"/>
                <w:shd w:val="clear" w:color="auto" w:fill="FFFFFF"/>
              </w:rPr>
              <w:t>智能化层析分离</w:t>
            </w:r>
            <w:r>
              <w:rPr>
                <w:rFonts w:hint="eastAsia" w:cs="Times New Roman"/>
                <w:color w:val="auto"/>
                <w:kern w:val="0"/>
                <w:szCs w:val="21"/>
                <w:highlight w:val="none"/>
                <w:shd w:val="clear" w:color="auto" w:fill="FFFFFF"/>
                <w:lang w:val="en-US" w:eastAsia="zh-CN"/>
              </w:rPr>
              <w:t>中试</w:t>
            </w:r>
            <w:r>
              <w:rPr>
                <w:rFonts w:hint="eastAsia" w:ascii="Times New Roman" w:hAnsi="Times New Roman" w:eastAsia="宋体" w:cs="Times New Roman"/>
                <w:color w:val="auto"/>
                <w:kern w:val="0"/>
                <w:szCs w:val="21"/>
                <w:highlight w:val="none"/>
                <w:shd w:val="clear" w:color="auto" w:fill="FFFFFF"/>
              </w:rPr>
              <w:t>系统</w:t>
            </w:r>
          </w:p>
        </w:tc>
        <w:tc>
          <w:tcPr>
            <w:tcW w:w="73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440" w:lineRule="exact"/>
              <w:jc w:val="center"/>
              <w:rPr>
                <w:rFonts w:ascii="Times New Roman" w:hAnsi="Times New Roman" w:eastAsia="宋体" w:cs="Times New Roman"/>
                <w:color w:val="auto"/>
                <w:kern w:val="0"/>
                <w:szCs w:val="21"/>
                <w:highlight w:val="none"/>
                <w:shd w:val="clear" w:color="auto" w:fill="FFFFFF"/>
              </w:rPr>
            </w:pPr>
            <w:r>
              <w:rPr>
                <w:rFonts w:ascii="Times New Roman" w:hAnsi="Times New Roman" w:eastAsia="宋体" w:cs="Times New Roman"/>
                <w:color w:val="auto"/>
                <w:kern w:val="0"/>
                <w:szCs w:val="21"/>
                <w:highlight w:val="none"/>
                <w:shd w:val="clear" w:color="auto" w:fill="FFFFFF"/>
              </w:rPr>
              <w:t>套</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440" w:lineRule="exact"/>
              <w:jc w:val="center"/>
              <w:rPr>
                <w:rFonts w:hint="eastAsia" w:ascii="Times New Roman" w:hAnsi="Times New Roman" w:eastAsia="宋体" w:cs="Times New Roman"/>
                <w:color w:val="auto"/>
                <w:kern w:val="0"/>
                <w:szCs w:val="21"/>
                <w:highlight w:val="none"/>
                <w:shd w:val="clear" w:color="auto" w:fill="FFFFFF"/>
                <w:lang w:eastAsia="zh-CN"/>
              </w:rPr>
            </w:pPr>
            <w:r>
              <w:rPr>
                <w:rFonts w:hint="eastAsia" w:ascii="Times New Roman" w:hAnsi="Times New Roman" w:eastAsia="宋体" w:cs="Times New Roman"/>
                <w:color w:val="auto"/>
                <w:kern w:val="0"/>
                <w:szCs w:val="21"/>
                <w:highlight w:val="none"/>
                <w:shd w:val="clear" w:color="auto" w:fill="FFFFFF"/>
                <w:lang w:val="en-US" w:eastAsia="zh-CN"/>
              </w:rPr>
              <w:t>1</w:t>
            </w:r>
          </w:p>
        </w:tc>
        <w:tc>
          <w:tcPr>
            <w:tcW w:w="265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440" w:lineRule="exact"/>
              <w:jc w:val="center"/>
              <w:rPr>
                <w:color w:val="auto"/>
                <w:kern w:val="0"/>
                <w:szCs w:val="21"/>
                <w:highlight w:val="none"/>
                <w:shd w:val="clear" w:color="auto" w:fill="FFFFFF"/>
              </w:rPr>
            </w:pPr>
            <w:r>
              <w:rPr>
                <w:rFonts w:hint="eastAsia" w:ascii="Times New Roman" w:hAnsi="Times New Roman" w:eastAsia="宋体" w:cs="Times New Roman"/>
                <w:color w:val="auto"/>
                <w:kern w:val="0"/>
                <w:szCs w:val="21"/>
                <w:highlight w:val="none"/>
                <w:shd w:val="clear" w:color="auto" w:fill="FFFFFF"/>
              </w:rPr>
              <w:t>该投标产品必须为中国关境内生产，若为进口产品将按无效投标处理。</w:t>
            </w:r>
          </w:p>
        </w:tc>
      </w:tr>
    </w:tbl>
    <w:p>
      <w:pPr>
        <w:widowControl w:val="0"/>
        <w:adjustRightInd w:val="0"/>
        <w:snapToGrid w:val="0"/>
        <w:spacing w:line="440" w:lineRule="exact"/>
        <w:jc w:val="both"/>
        <w:rPr>
          <w:b/>
          <w:color w:val="auto"/>
          <w:sz w:val="24"/>
          <w:highlight w:val="none"/>
        </w:rPr>
      </w:pPr>
    </w:p>
    <w:p>
      <w:pPr>
        <w:widowControl w:val="0"/>
        <w:adjustRightInd w:val="0"/>
        <w:snapToGrid w:val="0"/>
        <w:spacing w:line="440" w:lineRule="exact"/>
        <w:jc w:val="both"/>
        <w:rPr>
          <w:b/>
          <w:color w:val="auto"/>
          <w:sz w:val="24"/>
          <w:highlight w:val="none"/>
        </w:rPr>
      </w:pPr>
      <w:r>
        <w:rPr>
          <w:b/>
          <w:color w:val="auto"/>
          <w:sz w:val="24"/>
          <w:highlight w:val="none"/>
        </w:rPr>
        <w:t>二、项目技术要求</w:t>
      </w:r>
    </w:p>
    <w:p>
      <w:pPr>
        <w:pStyle w:val="18"/>
        <w:jc w:val="both"/>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1、核心技术指标</w:t>
      </w:r>
    </w:p>
    <w:tbl>
      <w:tblPr>
        <w:tblStyle w:val="3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6" w:type="dxa"/>
          <w:bottom w:w="0" w:type="dxa"/>
          <w:right w:w="56" w:type="dxa"/>
        </w:tblCellMar>
      </w:tblPr>
      <w:tblGrid>
        <w:gridCol w:w="981"/>
        <w:gridCol w:w="8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jc w:val="center"/>
        </w:trPr>
        <w:tc>
          <w:tcPr>
            <w:tcW w:w="509"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4491"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核心技术指标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jc w:val="center"/>
        </w:trPr>
        <w:tc>
          <w:tcPr>
            <w:tcW w:w="509"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491" w:type="pct"/>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层析柱：</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（1）3支层析柱，规格200mm*2000mm，其中两支316L不锈钢柱，另一支玻璃与不锈钢结合柱。</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（2）不锈钢柱：采用219*4不锈钢管制作，上部椭圆形封头，下部小椎体结构，柱管设有无死角不锈钢视镜。</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（3）玻璃与不锈钢结合柱：中间一段硼硅酸玻璃柱管，两端各</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00mm不锈钢柱管。柱出液口设置有在线紫外检测器，可根据根据设定的紫外实现自动切换。</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（4）在线紫外检测器：有界面</w:t>
            </w:r>
            <w:r>
              <w:rPr>
                <w:rFonts w:hint="eastAsia" w:ascii="宋体" w:hAnsi="宋体" w:eastAsia="宋体" w:cs="宋体"/>
                <w:color w:val="auto"/>
                <w:sz w:val="21"/>
                <w:szCs w:val="21"/>
                <w:highlight w:val="none"/>
                <w:lang w:val="en-US" w:eastAsia="zh-CN"/>
              </w:rPr>
              <w:t>可在线监测</w:t>
            </w:r>
            <w:r>
              <w:rPr>
                <w:rFonts w:hint="eastAsia" w:ascii="宋体" w:hAnsi="宋体" w:eastAsia="宋体" w:cs="宋体"/>
                <w:color w:val="auto"/>
                <w:sz w:val="21"/>
                <w:szCs w:val="21"/>
                <w:highlight w:val="none"/>
              </w:rPr>
              <w:t>出料图谱情况，检测图谱可以自动储存，可以根据假定工艺，预留编制程序。</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层析柱</w:t>
            </w:r>
            <w:r>
              <w:rPr>
                <w:rFonts w:hint="eastAsia" w:ascii="宋体" w:hAnsi="宋体" w:eastAsia="宋体" w:cs="宋体"/>
                <w:color w:val="auto"/>
                <w:sz w:val="21"/>
                <w:szCs w:val="21"/>
                <w:highlight w:val="none"/>
              </w:rPr>
              <w:t>过滤</w:t>
            </w:r>
            <w:r>
              <w:rPr>
                <w:rFonts w:hint="eastAsia" w:ascii="宋体" w:hAnsi="宋体" w:eastAsia="宋体" w:cs="宋体"/>
                <w:color w:val="auto"/>
                <w:sz w:val="21"/>
                <w:szCs w:val="21"/>
                <w:highlight w:val="none"/>
                <w:lang w:val="en-US" w:eastAsia="zh-CN"/>
              </w:rPr>
              <w:t>板</w:t>
            </w:r>
            <w:r>
              <w:rPr>
                <w:rFonts w:hint="eastAsia" w:ascii="宋体" w:hAnsi="宋体" w:eastAsia="宋体" w:cs="宋体"/>
                <w:color w:val="auto"/>
                <w:sz w:val="21"/>
                <w:szCs w:val="21"/>
                <w:highlight w:val="none"/>
              </w:rPr>
              <w:t>精度</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0.15mm，材质均采用聚丙烯（PP）材质。</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（6）柱前流量计与泵设定流量实现对比，压力变送器与泵实现联动，超压停泵。</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（7）柱后流量计用于实现出液阀门切换。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509"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491" w:type="pct"/>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层析柱分离程序：</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至少包括以下程序：</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（1）程序1：每个柱子</w:t>
            </w:r>
            <w:r>
              <w:rPr>
                <w:rFonts w:hint="eastAsia" w:ascii="宋体" w:hAnsi="宋体" w:eastAsia="宋体" w:cs="宋体"/>
                <w:color w:val="auto"/>
                <w:sz w:val="21"/>
                <w:szCs w:val="21"/>
                <w:highlight w:val="none"/>
                <w:lang w:val="en-US" w:eastAsia="zh-CN"/>
              </w:rPr>
              <w:t>可同时</w:t>
            </w:r>
            <w:r>
              <w:rPr>
                <w:rFonts w:hint="eastAsia" w:ascii="宋体" w:hAnsi="宋体" w:eastAsia="宋体" w:cs="宋体"/>
                <w:color w:val="auto"/>
                <w:sz w:val="21"/>
                <w:szCs w:val="21"/>
                <w:highlight w:val="none"/>
              </w:rPr>
              <w:t>独立完成工艺，柱前（上样、水洗、解析）</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（2）不同层析柱之间，可实现工艺切换：</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程序2：1-2柱串联</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程序3：1-2-3柱串联</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程序4：2-3柱串联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jc w:val="center"/>
        </w:trPr>
        <w:tc>
          <w:tcPr>
            <w:tcW w:w="509"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491" w:type="pct"/>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柱前储罐进液系统：</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（1）4台柱前储罐分别用于纯水、样品、解析液（1、2）样液存储。</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（2）设有快开液位计、400人孔，配套呼吸器、液位变送器（带信号0-20ma输出）。</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（3）可检测输出流量，在没有流量输出时与泵实现联控，防止泵因空转损坏。</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（4）4台柱前储罐与泵单独控制，在触摸屏</w:t>
            </w:r>
            <w:r>
              <w:rPr>
                <w:rFonts w:hint="eastAsia" w:ascii="宋体" w:hAnsi="宋体" w:eastAsia="宋体" w:cs="宋体"/>
                <w:color w:val="auto"/>
                <w:sz w:val="21"/>
                <w:szCs w:val="21"/>
                <w:highlight w:val="none"/>
                <w:lang w:val="en-US" w:eastAsia="zh-CN"/>
              </w:rPr>
              <w:t>选择</w:t>
            </w:r>
            <w:r>
              <w:rPr>
                <w:rFonts w:hint="eastAsia" w:ascii="宋体" w:hAnsi="宋体" w:eastAsia="宋体" w:cs="宋体"/>
                <w:color w:val="auto"/>
                <w:sz w:val="21"/>
                <w:szCs w:val="21"/>
                <w:highlight w:val="none"/>
              </w:rPr>
              <w:t>预设程序任意输入任一层析柱。</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收集罐出液系统：</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（1）4台收集储罐分别用于柱出液（前杂、后杂、收液1、收液2）存储。</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（2）设有快开液位计、</w:t>
            </w:r>
            <w:r>
              <w:rPr>
                <w:rFonts w:hint="eastAsia" w:ascii="宋体" w:hAnsi="宋体" w:eastAsia="宋体" w:cs="宋体"/>
                <w:color w:val="auto"/>
                <w:sz w:val="21"/>
                <w:szCs w:val="21"/>
                <w:highlight w:val="none"/>
                <w:lang w:val="en-US" w:eastAsia="zh-CN"/>
              </w:rPr>
              <w:t>DN</w:t>
            </w:r>
            <w:r>
              <w:rPr>
                <w:rFonts w:hint="eastAsia" w:ascii="宋体" w:hAnsi="宋体" w:eastAsia="宋体" w:cs="宋体"/>
                <w:color w:val="auto"/>
                <w:sz w:val="21"/>
                <w:szCs w:val="21"/>
                <w:highlight w:val="none"/>
              </w:rPr>
              <w:t>400人孔，配套呼吸器、液位变送器（带信号0-20ma输出）。</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（3）可检测输出流量，在没有流量输出时与泵实现联控，防止泵因空转损坏。</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（4）4台收集储罐与泵单独控制，在触摸屏选着预设程序任意输出任一储罐。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jc w:val="center"/>
        </w:trPr>
        <w:tc>
          <w:tcPr>
            <w:tcW w:w="509"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491" w:type="pct"/>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输液泵：采用四元隔膜泵，配套变频电机，材质316L不锈钢。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jc w:val="center"/>
        </w:trPr>
        <w:tc>
          <w:tcPr>
            <w:tcW w:w="509"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491" w:type="pct"/>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控制仪表：</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（1）压力变送器，带显示表头，带4-20ma信号输出。</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（2）流量计：涡轮流量计，25-250L/min,带显示表头，带4-20ma信号输出。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jc w:val="center"/>
        </w:trPr>
        <w:tc>
          <w:tcPr>
            <w:tcW w:w="509"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4491" w:type="pct"/>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微软雅黑" w:hAnsi="微软雅黑" w:eastAsia="微软雅黑" w:cs="仿宋"/>
                <w:color w:val="auto"/>
                <w:sz w:val="21"/>
                <w:szCs w:val="21"/>
                <w:highlight w:val="none"/>
              </w:rPr>
              <w:t>全套系统采用自动控制。</w:t>
            </w:r>
          </w:p>
        </w:tc>
      </w:tr>
    </w:tbl>
    <w:p>
      <w:pPr>
        <w:pStyle w:val="18"/>
        <w:keepNext w:val="0"/>
        <w:keepLines w:val="0"/>
        <w:pageBreakBefore w:val="0"/>
        <w:widowControl/>
        <w:kinsoku/>
        <w:wordWrap/>
        <w:overflowPunct/>
        <w:topLinePunct w:val="0"/>
        <w:autoSpaceDE/>
        <w:autoSpaceDN/>
        <w:bidi w:val="0"/>
        <w:adjustRightInd/>
        <w:snapToGrid/>
        <w:spacing w:after="0" w:line="440" w:lineRule="exact"/>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2、一般技术指标</w:t>
      </w:r>
    </w:p>
    <w:tbl>
      <w:tblPr>
        <w:tblStyle w:val="3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6" w:type="dxa"/>
          <w:bottom w:w="0" w:type="dxa"/>
          <w:right w:w="56" w:type="dxa"/>
        </w:tblCellMar>
      </w:tblPr>
      <w:tblGrid>
        <w:gridCol w:w="980"/>
        <w:gridCol w:w="8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jc w:val="center"/>
        </w:trPr>
        <w:tc>
          <w:tcPr>
            <w:tcW w:w="509"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4490"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一般技术指标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jc w:val="center"/>
        </w:trPr>
        <w:tc>
          <w:tcPr>
            <w:tcW w:w="509"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490" w:type="pct"/>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层析柱：柱体本身应便于拆洗、维护，易于安装，且应能保证物料与设备互不产生相互污染，合理布局视镜，视镜位置不能有死体积，以满足生产使用要求。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jc w:val="center"/>
        </w:trPr>
        <w:tc>
          <w:tcPr>
            <w:tcW w:w="509"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w:t>
            </w:r>
          </w:p>
        </w:tc>
        <w:tc>
          <w:tcPr>
            <w:tcW w:w="4490" w:type="pct"/>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树脂填料填装与卸载：</w:t>
            </w:r>
            <w:r>
              <w:rPr>
                <w:rFonts w:hint="eastAsia" w:ascii="宋体" w:hAnsi="宋体" w:eastAsia="宋体" w:cs="宋体"/>
                <w:color w:val="auto"/>
                <w:sz w:val="21"/>
                <w:szCs w:val="21"/>
                <w:highlight w:val="none"/>
              </w:rPr>
              <w:t>真空抽吸装填树脂，纯化水反冲卸载树脂。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jc w:val="center"/>
        </w:trPr>
        <w:tc>
          <w:tcPr>
            <w:tcW w:w="509"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w:t>
            </w:r>
          </w:p>
        </w:tc>
        <w:tc>
          <w:tcPr>
            <w:tcW w:w="4490" w:type="pct"/>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柱前储罐、收集储罐：为常压立式储罐，材质316L不锈钢，壁厚3mm,内外抛光，外壁亚光。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jc w:val="center"/>
        </w:trPr>
        <w:tc>
          <w:tcPr>
            <w:tcW w:w="509"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w:t>
            </w:r>
          </w:p>
        </w:tc>
        <w:tc>
          <w:tcPr>
            <w:tcW w:w="4490" w:type="pct"/>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输液泵：物料的进/出料管道最低点处需要增加排液口，便于排净或收集保证无残留。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jc w:val="center"/>
        </w:trPr>
        <w:tc>
          <w:tcPr>
            <w:tcW w:w="509"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5</w:t>
            </w:r>
          </w:p>
        </w:tc>
        <w:tc>
          <w:tcPr>
            <w:tcW w:w="4490" w:type="pct"/>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控制管道及阀门：均为卫生管，接口方式均为快装卡箍连接，局部采用柔性管道，所有管阀均采用SUS316L不锈钢。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jc w:val="center"/>
        </w:trPr>
        <w:tc>
          <w:tcPr>
            <w:tcW w:w="509"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6</w:t>
            </w:r>
          </w:p>
        </w:tc>
        <w:tc>
          <w:tcPr>
            <w:tcW w:w="4490" w:type="pct"/>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控制阀门：分气动阀门及手动阀门，气动阀门用于自控工艺程序，所有管阀均采用SUS316L不锈钢。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jc w:val="center"/>
        </w:trPr>
        <w:tc>
          <w:tcPr>
            <w:tcW w:w="509"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7</w:t>
            </w:r>
          </w:p>
        </w:tc>
        <w:tc>
          <w:tcPr>
            <w:tcW w:w="4490" w:type="pct"/>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配电箱、</w:t>
            </w:r>
            <w:r>
              <w:rPr>
                <w:rFonts w:hint="eastAsia" w:ascii="宋体" w:hAnsi="宋体" w:eastAsia="宋体" w:cs="宋体"/>
                <w:color w:val="auto"/>
                <w:sz w:val="21"/>
                <w:szCs w:val="21"/>
                <w:highlight w:val="none"/>
              </w:rPr>
              <w:t>涉及60%以上乙醇的输料泵等相关配件需要进行防爆处理。</w:t>
            </w:r>
          </w:p>
        </w:tc>
      </w:tr>
    </w:tbl>
    <w:p>
      <w:pPr>
        <w:pStyle w:val="261"/>
        <w:numPr>
          <w:ilvl w:val="0"/>
          <w:numId w:val="16"/>
        </w:numPr>
        <w:spacing w:line="440" w:lineRule="exact"/>
        <w:ind w:firstLine="0" w:firstLineChars="0"/>
        <w:rPr>
          <w:rFonts w:hint="eastAsia" w:ascii="Times New Roman" w:hAnsi="Times New Roman" w:eastAsia="宋体" w:cs="Times New Roman"/>
          <w:color w:val="auto"/>
          <w:szCs w:val="21"/>
          <w:highlight w:val="none"/>
          <w:shd w:val="clear" w:color="auto" w:fill="FFFFFF"/>
          <w:lang w:val="en-US" w:eastAsia="zh-CN"/>
        </w:rPr>
      </w:pPr>
      <w:r>
        <w:rPr>
          <w:rFonts w:hint="eastAsia"/>
          <w:color w:val="auto"/>
          <w:szCs w:val="21"/>
          <w:highlight w:val="none"/>
          <w:shd w:val="clear" w:color="auto" w:fill="FFFFFF"/>
          <w:lang w:val="en-US" w:eastAsia="zh-CN"/>
        </w:rPr>
        <w:t>设备配置清单</w:t>
      </w:r>
      <w:r>
        <w:rPr>
          <w:rFonts w:hint="eastAsia" w:ascii="Times New Roman" w:hAnsi="Times New Roman" w:eastAsia="宋体" w:cs="Times New Roman"/>
          <w:color w:val="auto"/>
          <w:szCs w:val="21"/>
          <w:highlight w:val="none"/>
          <w:shd w:val="clear" w:color="auto" w:fill="FFFFFF"/>
          <w:lang w:val="en-US" w:eastAsia="zh-CN"/>
        </w:rPr>
        <w:t>（不同厂家产品的配置名称与下表所列名称存在偏差时，满足功能需求即可）</w:t>
      </w:r>
    </w:p>
    <w:tbl>
      <w:tblPr>
        <w:tblStyle w:val="39"/>
        <w:tblW w:w="493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2"/>
        <w:gridCol w:w="1968"/>
        <w:gridCol w:w="1108"/>
        <w:gridCol w:w="1214"/>
        <w:gridCol w:w="865"/>
        <w:gridCol w:w="3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trPr>
        <w:tc>
          <w:tcPr>
            <w:tcW w:w="319" w:type="pct"/>
            <w:noWrap/>
            <w:tcMar>
              <w:top w:w="15" w:type="dxa"/>
              <w:left w:w="15" w:type="dxa"/>
              <w:right w:w="15" w:type="dxa"/>
            </w:tcMar>
            <w:vAlign w:val="center"/>
          </w:tcPr>
          <w:p>
            <w:pPr>
              <w:pStyle w:val="18"/>
              <w:keepNext w:val="0"/>
              <w:keepLines w:val="0"/>
              <w:pageBreakBefore w:val="0"/>
              <w:widowControl/>
              <w:kinsoku/>
              <w:wordWrap/>
              <w:overflowPunct/>
              <w:topLinePunct w:val="0"/>
              <w:autoSpaceDE/>
              <w:autoSpaceDN/>
              <w:bidi w:val="0"/>
              <w:adjustRightInd/>
              <w:snapToGrid w:val="0"/>
              <w:spacing w:after="0" w:line="44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045" w:type="pct"/>
            <w:noWrap/>
            <w:tcMar>
              <w:top w:w="15" w:type="dxa"/>
              <w:left w:w="15" w:type="dxa"/>
              <w:right w:w="15" w:type="dxa"/>
            </w:tcMar>
            <w:vAlign w:val="center"/>
          </w:tcPr>
          <w:p>
            <w:pPr>
              <w:pStyle w:val="18"/>
              <w:keepNext w:val="0"/>
              <w:keepLines w:val="0"/>
              <w:pageBreakBefore w:val="0"/>
              <w:widowControl/>
              <w:kinsoku/>
              <w:wordWrap/>
              <w:overflowPunct/>
              <w:topLinePunct w:val="0"/>
              <w:autoSpaceDE/>
              <w:autoSpaceDN/>
              <w:bidi w:val="0"/>
              <w:adjustRightInd/>
              <w:snapToGrid w:val="0"/>
              <w:spacing w:after="0" w:line="44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名称</w:t>
            </w:r>
          </w:p>
        </w:tc>
        <w:tc>
          <w:tcPr>
            <w:tcW w:w="588" w:type="pct"/>
            <w:noWrap/>
            <w:tcMar>
              <w:top w:w="15" w:type="dxa"/>
              <w:left w:w="15" w:type="dxa"/>
              <w:right w:w="15" w:type="dxa"/>
            </w:tcMar>
            <w:vAlign w:val="center"/>
          </w:tcPr>
          <w:p>
            <w:pPr>
              <w:pStyle w:val="18"/>
              <w:keepNext w:val="0"/>
              <w:keepLines w:val="0"/>
              <w:pageBreakBefore w:val="0"/>
              <w:widowControl/>
              <w:kinsoku/>
              <w:wordWrap/>
              <w:overflowPunct/>
              <w:topLinePunct w:val="0"/>
              <w:autoSpaceDE/>
              <w:autoSpaceDN/>
              <w:bidi w:val="0"/>
              <w:adjustRightInd/>
              <w:snapToGrid w:val="0"/>
              <w:spacing w:after="0" w:line="44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规格</w:t>
            </w:r>
          </w:p>
        </w:tc>
        <w:tc>
          <w:tcPr>
            <w:tcW w:w="645" w:type="pct"/>
            <w:vAlign w:val="center"/>
          </w:tcPr>
          <w:p>
            <w:pPr>
              <w:pStyle w:val="18"/>
              <w:keepNext w:val="0"/>
              <w:keepLines w:val="0"/>
              <w:pageBreakBefore w:val="0"/>
              <w:widowControl/>
              <w:kinsoku/>
              <w:wordWrap/>
              <w:overflowPunct/>
              <w:topLinePunct w:val="0"/>
              <w:autoSpaceDE/>
              <w:autoSpaceDN/>
              <w:bidi w:val="0"/>
              <w:adjustRightInd/>
              <w:snapToGrid w:val="0"/>
              <w:spacing w:after="0" w:line="44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拟采购</w:t>
            </w:r>
            <w:r>
              <w:rPr>
                <w:rFonts w:hint="eastAsia" w:ascii="宋体" w:hAnsi="宋体" w:eastAsia="宋体" w:cs="宋体"/>
                <w:b/>
                <w:bCs/>
                <w:color w:val="auto"/>
                <w:sz w:val="21"/>
                <w:szCs w:val="21"/>
                <w:highlight w:val="none"/>
              </w:rPr>
              <w:t>数量</w:t>
            </w:r>
          </w:p>
        </w:tc>
        <w:tc>
          <w:tcPr>
            <w:tcW w:w="459" w:type="pct"/>
            <w:noWrap/>
            <w:tcMar>
              <w:top w:w="15" w:type="dxa"/>
              <w:left w:w="15" w:type="dxa"/>
              <w:right w:w="15" w:type="dxa"/>
            </w:tcMar>
            <w:vAlign w:val="center"/>
          </w:tcPr>
          <w:p>
            <w:pPr>
              <w:pStyle w:val="18"/>
              <w:keepNext w:val="0"/>
              <w:keepLines w:val="0"/>
              <w:pageBreakBefore w:val="0"/>
              <w:widowControl/>
              <w:kinsoku/>
              <w:wordWrap/>
              <w:overflowPunct/>
              <w:topLinePunct w:val="0"/>
              <w:autoSpaceDE/>
              <w:autoSpaceDN/>
              <w:bidi w:val="0"/>
              <w:adjustRightInd/>
              <w:snapToGrid w:val="0"/>
              <w:spacing w:after="0" w:line="44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w:t>
            </w:r>
          </w:p>
        </w:tc>
        <w:tc>
          <w:tcPr>
            <w:tcW w:w="1941" w:type="pct"/>
            <w:vAlign w:val="center"/>
          </w:tcPr>
          <w:p>
            <w:pPr>
              <w:pStyle w:val="18"/>
              <w:keepNext w:val="0"/>
              <w:keepLines w:val="0"/>
              <w:pageBreakBefore w:val="0"/>
              <w:widowControl/>
              <w:kinsoku/>
              <w:wordWrap/>
              <w:overflowPunct/>
              <w:topLinePunct w:val="0"/>
              <w:autoSpaceDE/>
              <w:autoSpaceDN/>
              <w:bidi w:val="0"/>
              <w:adjustRightInd/>
              <w:snapToGrid w:val="0"/>
              <w:spacing w:after="0" w:line="44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trPr>
        <w:tc>
          <w:tcPr>
            <w:tcW w:w="319"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p>
        </w:tc>
        <w:tc>
          <w:tcPr>
            <w:tcW w:w="1045"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柱前储罐</w:t>
            </w:r>
          </w:p>
        </w:tc>
        <w:tc>
          <w:tcPr>
            <w:tcW w:w="588"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300L</w:t>
            </w:r>
          </w:p>
        </w:tc>
        <w:tc>
          <w:tcPr>
            <w:tcW w:w="645" w:type="pct"/>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p>
        </w:tc>
        <w:tc>
          <w:tcPr>
            <w:tcW w:w="459"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台</w:t>
            </w:r>
          </w:p>
        </w:tc>
        <w:tc>
          <w:tcPr>
            <w:tcW w:w="1941" w:type="pct"/>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快开液位计、400人孔，配套呼吸器、液位变送器（带信号0-20ma输出），SUS316L材质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trPr>
        <w:tc>
          <w:tcPr>
            <w:tcW w:w="319"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w:t>
            </w:r>
          </w:p>
        </w:tc>
        <w:tc>
          <w:tcPr>
            <w:tcW w:w="1045"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输液泵</w:t>
            </w:r>
          </w:p>
        </w:tc>
        <w:tc>
          <w:tcPr>
            <w:tcW w:w="588"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1-180L/H</w:t>
            </w:r>
          </w:p>
        </w:tc>
        <w:tc>
          <w:tcPr>
            <w:tcW w:w="645" w:type="pct"/>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p>
        </w:tc>
        <w:tc>
          <w:tcPr>
            <w:tcW w:w="459"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台</w:t>
            </w:r>
          </w:p>
        </w:tc>
        <w:tc>
          <w:tcPr>
            <w:tcW w:w="1941" w:type="pct"/>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配套变频电机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trPr>
        <w:tc>
          <w:tcPr>
            <w:tcW w:w="319"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w:t>
            </w:r>
          </w:p>
        </w:tc>
        <w:tc>
          <w:tcPr>
            <w:tcW w:w="1045"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流量计</w:t>
            </w:r>
          </w:p>
        </w:tc>
        <w:tc>
          <w:tcPr>
            <w:tcW w:w="588"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25-250L/H</w:t>
            </w:r>
          </w:p>
        </w:tc>
        <w:tc>
          <w:tcPr>
            <w:tcW w:w="645" w:type="pct"/>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p>
        </w:tc>
        <w:tc>
          <w:tcPr>
            <w:tcW w:w="459"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台</w:t>
            </w:r>
          </w:p>
        </w:tc>
        <w:tc>
          <w:tcPr>
            <w:tcW w:w="1941" w:type="pct"/>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涡轮流量计，带显示表头，带4-20ma信号输出，SUS316L材质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trPr>
        <w:tc>
          <w:tcPr>
            <w:tcW w:w="319" w:type="pct"/>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w:t>
            </w:r>
          </w:p>
        </w:tc>
        <w:tc>
          <w:tcPr>
            <w:tcW w:w="1045" w:type="pct"/>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层析柱</w:t>
            </w:r>
          </w:p>
        </w:tc>
        <w:tc>
          <w:tcPr>
            <w:tcW w:w="588" w:type="pct"/>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200-2000</w:t>
            </w:r>
          </w:p>
        </w:tc>
        <w:tc>
          <w:tcPr>
            <w:tcW w:w="645" w:type="pct"/>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p>
        </w:tc>
        <w:tc>
          <w:tcPr>
            <w:tcW w:w="459" w:type="pct"/>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台</w:t>
            </w:r>
          </w:p>
        </w:tc>
        <w:tc>
          <w:tcPr>
            <w:tcW w:w="1941" w:type="pct"/>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两支316L不锈钢柱，另一支玻璃与不锈钢结合柱、含柱架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trPr>
        <w:tc>
          <w:tcPr>
            <w:tcW w:w="319" w:type="pct"/>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5</w:t>
            </w:r>
          </w:p>
        </w:tc>
        <w:tc>
          <w:tcPr>
            <w:tcW w:w="1045" w:type="pct"/>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压力变送器</w:t>
            </w:r>
          </w:p>
        </w:tc>
        <w:tc>
          <w:tcPr>
            <w:tcW w:w="588" w:type="pct"/>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配套</w:t>
            </w:r>
          </w:p>
        </w:tc>
        <w:tc>
          <w:tcPr>
            <w:tcW w:w="645" w:type="pct"/>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p>
        </w:tc>
        <w:tc>
          <w:tcPr>
            <w:tcW w:w="459" w:type="pct"/>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台</w:t>
            </w:r>
          </w:p>
        </w:tc>
        <w:tc>
          <w:tcPr>
            <w:tcW w:w="1941" w:type="pct"/>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带显示表头，带4-20ma信号输出，SUS316L材质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trPr>
        <w:tc>
          <w:tcPr>
            <w:tcW w:w="319" w:type="pct"/>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6</w:t>
            </w:r>
          </w:p>
        </w:tc>
        <w:tc>
          <w:tcPr>
            <w:tcW w:w="1045" w:type="pct"/>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阀门、管道、设计、布局、安装</w:t>
            </w:r>
          </w:p>
        </w:tc>
        <w:tc>
          <w:tcPr>
            <w:tcW w:w="588" w:type="pct"/>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配套</w:t>
            </w:r>
          </w:p>
        </w:tc>
        <w:tc>
          <w:tcPr>
            <w:tcW w:w="645" w:type="pct"/>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p>
        </w:tc>
        <w:tc>
          <w:tcPr>
            <w:tcW w:w="459" w:type="pct"/>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批</w:t>
            </w:r>
          </w:p>
        </w:tc>
        <w:tc>
          <w:tcPr>
            <w:tcW w:w="1941" w:type="pct"/>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配套，SUS316L材质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trPr>
        <w:tc>
          <w:tcPr>
            <w:tcW w:w="319" w:type="pct"/>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7</w:t>
            </w:r>
          </w:p>
        </w:tc>
        <w:tc>
          <w:tcPr>
            <w:tcW w:w="1045" w:type="pct"/>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自控柜（在线紫外、工作站）</w:t>
            </w:r>
          </w:p>
        </w:tc>
        <w:tc>
          <w:tcPr>
            <w:tcW w:w="588" w:type="pct"/>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配套</w:t>
            </w:r>
          </w:p>
        </w:tc>
        <w:tc>
          <w:tcPr>
            <w:tcW w:w="645" w:type="pct"/>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p>
        </w:tc>
        <w:tc>
          <w:tcPr>
            <w:tcW w:w="459" w:type="pct"/>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套</w:t>
            </w:r>
          </w:p>
        </w:tc>
        <w:tc>
          <w:tcPr>
            <w:tcW w:w="1941" w:type="pct"/>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柜体、变频器、触摸屏、鼠标、电器、PLC、CPU、电磁阀等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trPr>
        <w:tc>
          <w:tcPr>
            <w:tcW w:w="319" w:type="pct"/>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8</w:t>
            </w:r>
          </w:p>
        </w:tc>
        <w:tc>
          <w:tcPr>
            <w:tcW w:w="1045" w:type="pct"/>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出液收集罐</w:t>
            </w:r>
          </w:p>
        </w:tc>
        <w:tc>
          <w:tcPr>
            <w:tcW w:w="588" w:type="pct"/>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300L</w:t>
            </w:r>
          </w:p>
        </w:tc>
        <w:tc>
          <w:tcPr>
            <w:tcW w:w="645" w:type="pct"/>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p>
        </w:tc>
        <w:tc>
          <w:tcPr>
            <w:tcW w:w="459" w:type="pct"/>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台</w:t>
            </w:r>
          </w:p>
        </w:tc>
        <w:tc>
          <w:tcPr>
            <w:tcW w:w="1941" w:type="pct"/>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快开液位计、400人孔，配套呼吸器、液位变送器（带信号0-20ma输出），SUS316L材质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trPr>
        <w:tc>
          <w:tcPr>
            <w:tcW w:w="319" w:type="pct"/>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9</w:t>
            </w:r>
          </w:p>
        </w:tc>
        <w:tc>
          <w:tcPr>
            <w:tcW w:w="1045" w:type="pct"/>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流量计</w:t>
            </w:r>
          </w:p>
        </w:tc>
        <w:tc>
          <w:tcPr>
            <w:tcW w:w="588" w:type="pct"/>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250-2500L/H</w:t>
            </w:r>
          </w:p>
        </w:tc>
        <w:tc>
          <w:tcPr>
            <w:tcW w:w="645" w:type="pct"/>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p>
        </w:tc>
        <w:tc>
          <w:tcPr>
            <w:tcW w:w="459" w:type="pct"/>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台</w:t>
            </w:r>
          </w:p>
        </w:tc>
        <w:tc>
          <w:tcPr>
            <w:tcW w:w="1941" w:type="pct"/>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SUS316L材质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trPr>
        <w:tc>
          <w:tcPr>
            <w:tcW w:w="319" w:type="pct"/>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10</w:t>
            </w:r>
          </w:p>
        </w:tc>
        <w:tc>
          <w:tcPr>
            <w:tcW w:w="1045" w:type="pct"/>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输液泵</w:t>
            </w:r>
          </w:p>
        </w:tc>
        <w:tc>
          <w:tcPr>
            <w:tcW w:w="588" w:type="pct"/>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CQ25-15</w:t>
            </w:r>
          </w:p>
        </w:tc>
        <w:tc>
          <w:tcPr>
            <w:tcW w:w="645" w:type="pct"/>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p>
        </w:tc>
        <w:tc>
          <w:tcPr>
            <w:tcW w:w="459" w:type="pct"/>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台</w:t>
            </w:r>
          </w:p>
        </w:tc>
        <w:tc>
          <w:tcPr>
            <w:tcW w:w="1941" w:type="pct"/>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SUS316L材质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trPr>
        <w:tc>
          <w:tcPr>
            <w:tcW w:w="319" w:type="pct"/>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11</w:t>
            </w:r>
          </w:p>
        </w:tc>
        <w:tc>
          <w:tcPr>
            <w:tcW w:w="1045" w:type="pct"/>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出液系统自控箱</w:t>
            </w:r>
          </w:p>
        </w:tc>
        <w:tc>
          <w:tcPr>
            <w:tcW w:w="588" w:type="pct"/>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配套</w:t>
            </w:r>
          </w:p>
        </w:tc>
        <w:tc>
          <w:tcPr>
            <w:tcW w:w="645" w:type="pct"/>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p>
        </w:tc>
        <w:tc>
          <w:tcPr>
            <w:tcW w:w="459" w:type="pct"/>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台</w:t>
            </w:r>
          </w:p>
        </w:tc>
        <w:tc>
          <w:tcPr>
            <w:tcW w:w="1941" w:type="pct"/>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配套</w:t>
            </w:r>
          </w:p>
        </w:tc>
      </w:tr>
    </w:tbl>
    <w:p>
      <w:pPr>
        <w:pStyle w:val="261"/>
        <w:numPr>
          <w:ilvl w:val="0"/>
          <w:numId w:val="0"/>
        </w:numPr>
        <w:spacing w:line="440" w:lineRule="exact"/>
        <w:rPr>
          <w:rFonts w:hint="default"/>
          <w:color w:val="auto"/>
          <w:szCs w:val="21"/>
          <w:highlight w:val="none"/>
          <w:shd w:val="clear" w:color="auto" w:fill="FFFFFF"/>
          <w:lang w:val="en-US" w:eastAsia="zh-CN"/>
        </w:rPr>
      </w:pPr>
    </w:p>
    <w:p>
      <w:pPr>
        <w:pStyle w:val="261"/>
        <w:numPr>
          <w:ilvl w:val="0"/>
          <w:numId w:val="0"/>
        </w:numPr>
        <w:spacing w:line="440" w:lineRule="exact"/>
        <w:rPr>
          <w:rFonts w:hint="default"/>
          <w:color w:val="auto"/>
          <w:szCs w:val="21"/>
          <w:highlight w:val="none"/>
          <w:shd w:val="clear" w:color="auto" w:fill="FFFFFF"/>
          <w:lang w:val="en-US" w:eastAsia="zh-CN"/>
        </w:rPr>
      </w:pPr>
    </w:p>
    <w:p>
      <w:pPr>
        <w:pStyle w:val="261"/>
        <w:numPr>
          <w:ilvl w:val="0"/>
          <w:numId w:val="0"/>
        </w:numPr>
        <w:spacing w:line="440" w:lineRule="exact"/>
        <w:rPr>
          <w:rFonts w:hint="default"/>
          <w:color w:val="auto"/>
          <w:szCs w:val="21"/>
          <w:highlight w:val="none"/>
          <w:shd w:val="clear" w:color="auto" w:fill="FFFFFF"/>
          <w:lang w:val="en-US" w:eastAsia="zh-CN"/>
        </w:rPr>
      </w:pPr>
    </w:p>
    <w:p>
      <w:pPr>
        <w:pStyle w:val="261"/>
        <w:numPr>
          <w:ilvl w:val="0"/>
          <w:numId w:val="0"/>
        </w:numPr>
        <w:spacing w:line="440" w:lineRule="exact"/>
        <w:rPr>
          <w:rFonts w:hint="default"/>
          <w:color w:val="auto"/>
          <w:szCs w:val="21"/>
          <w:highlight w:val="none"/>
          <w:shd w:val="clear" w:color="auto" w:fill="FFFFFF"/>
          <w:lang w:val="en-US" w:eastAsia="zh-CN"/>
        </w:rPr>
      </w:pPr>
    </w:p>
    <w:p>
      <w:pPr>
        <w:pStyle w:val="261"/>
        <w:numPr>
          <w:ilvl w:val="0"/>
          <w:numId w:val="0"/>
        </w:numPr>
        <w:spacing w:line="440" w:lineRule="exact"/>
        <w:rPr>
          <w:rFonts w:hint="default"/>
          <w:color w:val="auto"/>
          <w:szCs w:val="21"/>
          <w:highlight w:val="none"/>
          <w:shd w:val="clear" w:color="auto" w:fill="FFFFFF"/>
          <w:lang w:val="en-US" w:eastAsia="zh-CN"/>
        </w:rPr>
      </w:pPr>
    </w:p>
    <w:p>
      <w:pPr>
        <w:spacing w:line="440" w:lineRule="exact"/>
        <w:rPr>
          <w:b/>
          <w:color w:val="auto"/>
          <w:szCs w:val="21"/>
          <w:highlight w:val="none"/>
        </w:rPr>
      </w:pPr>
      <w:r>
        <w:rPr>
          <w:b/>
          <w:color w:val="auto"/>
          <w:sz w:val="24"/>
          <w:highlight w:val="none"/>
        </w:rPr>
        <w:t>三、</w:t>
      </w:r>
      <w:bookmarkStart w:id="50" w:name="_Toc10213450"/>
      <w:r>
        <w:rPr>
          <w:b/>
          <w:color w:val="auto"/>
          <w:szCs w:val="21"/>
          <w:highlight w:val="none"/>
        </w:rPr>
        <w:t>商务要求</w:t>
      </w:r>
    </w:p>
    <w:p>
      <w:pPr>
        <w:spacing w:line="440" w:lineRule="exact"/>
        <w:rPr>
          <w:b/>
          <w:bCs/>
          <w:color w:val="auto"/>
          <w:highlight w:val="none"/>
        </w:rPr>
      </w:pPr>
      <w:bookmarkStart w:id="51" w:name="_Toc78978994"/>
      <w:bookmarkStart w:id="52" w:name="_Toc13220"/>
      <w:bookmarkStart w:id="53" w:name="_Toc16855397"/>
      <w:r>
        <w:rPr>
          <w:b/>
          <w:bCs/>
          <w:color w:val="auto"/>
          <w:highlight w:val="none"/>
        </w:rPr>
        <w:t>3.1</w:t>
      </w:r>
      <w:r>
        <w:rPr>
          <w:rFonts w:hint="eastAsia"/>
          <w:b/>
          <w:bCs/>
          <w:color w:val="auto"/>
          <w:highlight w:val="none"/>
          <w:lang w:val="en-US" w:eastAsia="zh-CN"/>
        </w:rPr>
        <w:t>供货</w:t>
      </w:r>
      <w:r>
        <w:rPr>
          <w:b/>
          <w:bCs/>
          <w:color w:val="auto"/>
          <w:highlight w:val="none"/>
        </w:rPr>
        <w:t>期、交货地点及验收方式</w:t>
      </w:r>
      <w:bookmarkEnd w:id="51"/>
      <w:bookmarkEnd w:id="52"/>
      <w:bookmarkEnd w:id="53"/>
    </w:p>
    <w:p>
      <w:pPr>
        <w:spacing w:line="440" w:lineRule="exact"/>
        <w:rPr>
          <w:rFonts w:hint="eastAsia" w:eastAsia="宋体"/>
          <w:bCs/>
          <w:color w:val="auto"/>
          <w:szCs w:val="21"/>
          <w:highlight w:val="none"/>
          <w:lang w:val="en-US" w:eastAsia="zh-CN"/>
        </w:rPr>
      </w:pPr>
      <w:r>
        <w:rPr>
          <w:bCs/>
          <w:color w:val="auto"/>
          <w:szCs w:val="21"/>
          <w:highlight w:val="none"/>
        </w:rPr>
        <w:t>3.1.1</w:t>
      </w:r>
      <w:r>
        <w:rPr>
          <w:rFonts w:hint="eastAsia"/>
          <w:bCs/>
          <w:color w:val="auto"/>
          <w:szCs w:val="21"/>
          <w:highlight w:val="none"/>
          <w:lang w:val="en-US" w:eastAsia="zh-CN"/>
        </w:rPr>
        <w:t>供货</w:t>
      </w:r>
      <w:r>
        <w:rPr>
          <w:bCs/>
          <w:color w:val="auto"/>
          <w:szCs w:val="21"/>
          <w:highlight w:val="none"/>
        </w:rPr>
        <w:t>期：</w:t>
      </w:r>
      <w:r>
        <w:rPr>
          <w:rFonts w:hint="eastAsia"/>
          <w:bCs/>
          <w:color w:val="auto"/>
          <w:szCs w:val="21"/>
          <w:highlight w:val="none"/>
        </w:rPr>
        <w:t>收到预付款后75个日历日内完成设备加工与出厂前调试，设备交付后20个日历日内完成</w:t>
      </w:r>
      <w:r>
        <w:rPr>
          <w:rFonts w:hint="eastAsia"/>
          <w:bCs/>
          <w:color w:val="auto"/>
          <w:szCs w:val="21"/>
          <w:highlight w:val="none"/>
          <w:lang w:val="en-US" w:eastAsia="zh-CN"/>
        </w:rPr>
        <w:t>中试现场</w:t>
      </w:r>
      <w:r>
        <w:rPr>
          <w:rFonts w:hint="eastAsia"/>
          <w:bCs/>
          <w:color w:val="auto"/>
          <w:szCs w:val="21"/>
          <w:highlight w:val="none"/>
        </w:rPr>
        <w:t>设备安装</w:t>
      </w:r>
      <w:r>
        <w:rPr>
          <w:rFonts w:hint="eastAsia"/>
          <w:bCs/>
          <w:color w:val="auto"/>
          <w:szCs w:val="21"/>
          <w:highlight w:val="none"/>
          <w:lang w:val="en-US" w:eastAsia="zh-CN"/>
        </w:rPr>
        <w:t>调试。</w:t>
      </w:r>
    </w:p>
    <w:p>
      <w:pPr>
        <w:spacing w:line="440" w:lineRule="exact"/>
        <w:rPr>
          <w:bCs/>
          <w:color w:val="auto"/>
          <w:szCs w:val="21"/>
          <w:highlight w:val="none"/>
        </w:rPr>
      </w:pPr>
      <w:r>
        <w:rPr>
          <w:bCs/>
          <w:color w:val="auto"/>
          <w:szCs w:val="21"/>
          <w:highlight w:val="none"/>
        </w:rPr>
        <w:t>3.1.2交货地点：采购人指定地点（重庆）。</w:t>
      </w:r>
    </w:p>
    <w:p>
      <w:pPr>
        <w:spacing w:line="440" w:lineRule="exact"/>
        <w:rPr>
          <w:bCs/>
          <w:color w:val="auto"/>
          <w:szCs w:val="21"/>
          <w:highlight w:val="none"/>
        </w:rPr>
      </w:pPr>
      <w:r>
        <w:rPr>
          <w:bCs/>
          <w:color w:val="auto"/>
          <w:szCs w:val="21"/>
          <w:highlight w:val="none"/>
        </w:rPr>
        <w:t>3.1.3验收方式：</w:t>
      </w:r>
      <w:r>
        <w:rPr>
          <w:color w:val="auto"/>
          <w:sz w:val="22"/>
          <w:highlight w:val="none"/>
        </w:rPr>
        <w:t>设备须依据本技术规格要求、并按成交人和用户双方签订的技术协议进行验收。在用户所在地完成设备的安装、调试后，双方进行最终验收；验收合格后，由双方签署验收合格报告。</w:t>
      </w:r>
    </w:p>
    <w:p>
      <w:pPr>
        <w:numPr>
          <w:ilvl w:val="0"/>
          <w:numId w:val="17"/>
        </w:numPr>
        <w:spacing w:line="440" w:lineRule="exact"/>
        <w:rPr>
          <w:bCs/>
          <w:color w:val="auto"/>
          <w:szCs w:val="21"/>
          <w:highlight w:val="none"/>
        </w:rPr>
      </w:pPr>
      <w:r>
        <w:rPr>
          <w:color w:val="auto"/>
          <w:szCs w:val="21"/>
          <w:highlight w:val="none"/>
        </w:rPr>
        <w:t>货物到达现场后，成交人应在使用单位人员在场情况下当面开箱，</w:t>
      </w:r>
      <w:r>
        <w:rPr>
          <w:bCs/>
          <w:color w:val="auto"/>
          <w:szCs w:val="21"/>
          <w:highlight w:val="none"/>
        </w:rPr>
        <w:t>共同清点、检查外观，作出开箱记录，确认开箱验收合格后，双方签字确认。</w:t>
      </w:r>
    </w:p>
    <w:p>
      <w:pPr>
        <w:numPr>
          <w:ilvl w:val="0"/>
          <w:numId w:val="17"/>
        </w:numPr>
        <w:spacing w:line="440" w:lineRule="exact"/>
        <w:rPr>
          <w:bCs/>
          <w:color w:val="auto"/>
          <w:szCs w:val="21"/>
          <w:highlight w:val="none"/>
        </w:rPr>
      </w:pPr>
      <w:r>
        <w:rPr>
          <w:color w:val="auto"/>
          <w:szCs w:val="21"/>
          <w:highlight w:val="none"/>
        </w:rPr>
        <w:t>成交人应保证货物到达采购人所在地完好无损</w:t>
      </w:r>
      <w:r>
        <w:rPr>
          <w:bCs/>
          <w:color w:val="auto"/>
          <w:szCs w:val="21"/>
          <w:highlight w:val="none"/>
        </w:rPr>
        <w:t xml:space="preserve">，如有缺漏、损坏，由成交人负责调换、补齐或赔偿。  </w:t>
      </w:r>
    </w:p>
    <w:p>
      <w:pPr>
        <w:numPr>
          <w:ilvl w:val="0"/>
          <w:numId w:val="17"/>
        </w:numPr>
        <w:spacing w:line="440" w:lineRule="exact"/>
        <w:rPr>
          <w:bCs/>
          <w:color w:val="auto"/>
          <w:szCs w:val="21"/>
          <w:highlight w:val="none"/>
        </w:rPr>
      </w:pPr>
      <w:r>
        <w:rPr>
          <w:bCs/>
          <w:color w:val="auto"/>
          <w:szCs w:val="21"/>
          <w:highlight w:val="none"/>
        </w:rPr>
        <w:t>成交人应提供完备的技术资料、装箱清单、合格证等，并派遣专业技术人员进行现场安装调试及验收服务。验收合格条件如下：</w:t>
      </w:r>
    </w:p>
    <w:p>
      <w:pPr>
        <w:numPr>
          <w:ilvl w:val="0"/>
          <w:numId w:val="18"/>
        </w:numPr>
        <w:spacing w:line="440" w:lineRule="exact"/>
        <w:rPr>
          <w:bCs/>
          <w:color w:val="auto"/>
          <w:szCs w:val="21"/>
          <w:highlight w:val="none"/>
        </w:rPr>
      </w:pPr>
      <w:r>
        <w:rPr>
          <w:bCs/>
          <w:color w:val="auto"/>
          <w:szCs w:val="21"/>
          <w:highlight w:val="none"/>
        </w:rPr>
        <w:t>产品技术参数与采购合同一致，性能指标达到规定的标准。</w:t>
      </w:r>
    </w:p>
    <w:p>
      <w:pPr>
        <w:numPr>
          <w:ilvl w:val="0"/>
          <w:numId w:val="18"/>
        </w:numPr>
        <w:spacing w:line="440" w:lineRule="exact"/>
        <w:rPr>
          <w:bCs/>
          <w:color w:val="auto"/>
          <w:szCs w:val="21"/>
          <w:highlight w:val="none"/>
        </w:rPr>
      </w:pPr>
      <w:r>
        <w:rPr>
          <w:bCs/>
          <w:color w:val="auto"/>
          <w:szCs w:val="21"/>
          <w:highlight w:val="none"/>
        </w:rPr>
        <w:t>产品技术资料、装箱单、系统质量合格证等资料齐全。</w:t>
      </w:r>
    </w:p>
    <w:p>
      <w:pPr>
        <w:numPr>
          <w:ilvl w:val="0"/>
          <w:numId w:val="18"/>
        </w:numPr>
        <w:spacing w:line="440" w:lineRule="exact"/>
        <w:rPr>
          <w:bCs/>
          <w:color w:val="auto"/>
          <w:szCs w:val="21"/>
          <w:highlight w:val="none"/>
        </w:rPr>
      </w:pPr>
      <w:r>
        <w:rPr>
          <w:bCs/>
          <w:color w:val="auto"/>
          <w:szCs w:val="21"/>
          <w:highlight w:val="none"/>
        </w:rPr>
        <w:t>在系统试运行期间无重大问题，所出现的问题得到解决，并运行正常。</w:t>
      </w:r>
    </w:p>
    <w:p>
      <w:pPr>
        <w:numPr>
          <w:ilvl w:val="0"/>
          <w:numId w:val="18"/>
        </w:numPr>
        <w:spacing w:line="440" w:lineRule="exact"/>
        <w:rPr>
          <w:bCs/>
          <w:color w:val="auto"/>
          <w:szCs w:val="21"/>
          <w:highlight w:val="none"/>
        </w:rPr>
      </w:pPr>
      <w:r>
        <w:rPr>
          <w:bCs/>
          <w:color w:val="auto"/>
          <w:szCs w:val="21"/>
          <w:highlight w:val="none"/>
        </w:rPr>
        <w:t>在规定时间内完成交货并验收，并经采购人确认。</w:t>
      </w:r>
    </w:p>
    <w:p>
      <w:pPr>
        <w:numPr>
          <w:ilvl w:val="0"/>
          <w:numId w:val="17"/>
        </w:numPr>
        <w:spacing w:line="440" w:lineRule="exact"/>
        <w:rPr>
          <w:bCs/>
          <w:color w:val="auto"/>
          <w:szCs w:val="21"/>
          <w:highlight w:val="none"/>
        </w:rPr>
      </w:pPr>
      <w:r>
        <w:rPr>
          <w:bCs/>
          <w:color w:val="auto"/>
          <w:szCs w:val="21"/>
          <w:highlight w:val="none"/>
        </w:rPr>
        <w:t>产品在安装调试并试运行后，所有性能指标经考核符合要求后，才作为最终验收。</w:t>
      </w:r>
    </w:p>
    <w:p>
      <w:pPr>
        <w:numPr>
          <w:ilvl w:val="0"/>
          <w:numId w:val="17"/>
        </w:numPr>
        <w:spacing w:line="440" w:lineRule="exact"/>
        <w:rPr>
          <w:bCs/>
          <w:color w:val="auto"/>
          <w:szCs w:val="21"/>
          <w:highlight w:val="none"/>
        </w:rPr>
      </w:pPr>
      <w:r>
        <w:rPr>
          <w:bCs/>
          <w:color w:val="auto"/>
          <w:szCs w:val="21"/>
          <w:highlight w:val="none"/>
        </w:rPr>
        <w:t>成交人提供的货物未达到评比文件规定要求，且对采购人造成损失的，由成交人承担一切责任，并赔偿所造成的损失。</w:t>
      </w:r>
    </w:p>
    <w:p>
      <w:pPr>
        <w:numPr>
          <w:ilvl w:val="0"/>
          <w:numId w:val="17"/>
        </w:numPr>
        <w:spacing w:line="440" w:lineRule="exact"/>
        <w:rPr>
          <w:bCs/>
          <w:color w:val="auto"/>
          <w:szCs w:val="21"/>
          <w:highlight w:val="none"/>
        </w:rPr>
      </w:pPr>
      <w:r>
        <w:rPr>
          <w:bCs/>
          <w:color w:val="auto"/>
          <w:szCs w:val="21"/>
          <w:highlight w:val="none"/>
        </w:rPr>
        <w:t>采购人需要制造商对成交人交付的产品（包括质量、技术参数等）进行确认的，制造商应予以配合，并出具书面意见。</w:t>
      </w:r>
    </w:p>
    <w:p>
      <w:pPr>
        <w:numPr>
          <w:ilvl w:val="0"/>
          <w:numId w:val="17"/>
        </w:numPr>
        <w:spacing w:line="440" w:lineRule="exact"/>
        <w:rPr>
          <w:bCs/>
          <w:color w:val="auto"/>
          <w:szCs w:val="21"/>
          <w:highlight w:val="none"/>
        </w:rPr>
      </w:pPr>
      <w:r>
        <w:rPr>
          <w:bCs/>
          <w:color w:val="auto"/>
          <w:szCs w:val="21"/>
          <w:highlight w:val="none"/>
        </w:rPr>
        <w:t>货物包装外表面应有产品标志，包括制造厂名、产品名称、产品型号或标记、制造日期或编号，包装必须经过减震处理，包装箱上应有对应运输标记，货物拆封前包装不得破损。货物包装材料归采购人所有。</w:t>
      </w:r>
    </w:p>
    <w:p>
      <w:pPr>
        <w:spacing w:line="440" w:lineRule="exact"/>
        <w:rPr>
          <w:b/>
          <w:bCs/>
          <w:color w:val="auto"/>
          <w:highlight w:val="none"/>
        </w:rPr>
      </w:pPr>
      <w:bookmarkStart w:id="54" w:name="_Toc78978996"/>
      <w:bookmarkStart w:id="55" w:name="_Toc27697"/>
      <w:r>
        <w:rPr>
          <w:b/>
          <w:bCs/>
          <w:color w:val="auto"/>
          <w:highlight w:val="none"/>
        </w:rPr>
        <w:t>3.2质量保证及售后服务</w:t>
      </w:r>
      <w:bookmarkEnd w:id="54"/>
      <w:bookmarkEnd w:id="55"/>
    </w:p>
    <w:p>
      <w:pPr>
        <w:spacing w:line="440" w:lineRule="exact"/>
        <w:rPr>
          <w:b/>
          <w:color w:val="auto"/>
          <w:szCs w:val="21"/>
          <w:highlight w:val="none"/>
        </w:rPr>
      </w:pPr>
      <w:r>
        <w:rPr>
          <w:b/>
          <w:color w:val="auto"/>
          <w:szCs w:val="21"/>
          <w:highlight w:val="none"/>
        </w:rPr>
        <w:t>3.2.1产品质量保证期</w:t>
      </w:r>
    </w:p>
    <w:p>
      <w:pPr>
        <w:numPr>
          <w:ilvl w:val="0"/>
          <w:numId w:val="19"/>
        </w:numPr>
        <w:spacing w:line="440" w:lineRule="exact"/>
        <w:rPr>
          <w:bCs/>
          <w:color w:val="auto"/>
          <w:szCs w:val="21"/>
          <w:highlight w:val="none"/>
        </w:rPr>
      </w:pPr>
      <w:r>
        <w:rPr>
          <w:color w:val="auto"/>
          <w:sz w:val="22"/>
          <w:highlight w:val="none"/>
        </w:rPr>
        <w:t>设备保修期至少为</w:t>
      </w:r>
      <w:r>
        <w:rPr>
          <w:color w:val="auto"/>
          <w:sz w:val="22"/>
          <w:highlight w:val="none"/>
          <w:u w:val="single"/>
        </w:rPr>
        <w:t>1年</w:t>
      </w:r>
      <w:r>
        <w:rPr>
          <w:color w:val="auto"/>
          <w:sz w:val="22"/>
          <w:highlight w:val="none"/>
        </w:rPr>
        <w:t>，自双方签署验收合格报告之日起</w:t>
      </w:r>
      <w:r>
        <w:rPr>
          <w:b/>
          <w:bCs/>
          <w:color w:val="auto"/>
          <w:szCs w:val="21"/>
          <w:highlight w:val="none"/>
        </w:rPr>
        <w:t>。</w:t>
      </w:r>
      <w:r>
        <w:rPr>
          <w:color w:val="auto"/>
          <w:sz w:val="22"/>
          <w:highlight w:val="none"/>
        </w:rPr>
        <w:t>在保修期内，设备在正常使用维护条件下发生故障或损坏，供应商将负责免费维修，所需换件费用和人工费用、均由供应商承担。</w:t>
      </w:r>
      <w:r>
        <w:rPr>
          <w:color w:val="auto"/>
          <w:szCs w:val="21"/>
          <w:highlight w:val="none"/>
        </w:rPr>
        <w:t>设备必须是全新未使用过的，质量合格，无损坏的，功能完整的成套设备。</w:t>
      </w:r>
      <w:r>
        <w:rPr>
          <w:bCs/>
          <w:color w:val="auto"/>
          <w:szCs w:val="21"/>
          <w:highlight w:val="none"/>
        </w:rPr>
        <w:t>为保证服务质量，</w:t>
      </w:r>
      <w:r>
        <w:rPr>
          <w:b/>
          <w:color w:val="auto"/>
          <w:szCs w:val="21"/>
          <w:highlight w:val="none"/>
        </w:rPr>
        <w:t>需提供原厂售后服务承诺函并加盖制造商鲜章</w:t>
      </w:r>
      <w:r>
        <w:rPr>
          <w:bCs/>
          <w:color w:val="auto"/>
          <w:szCs w:val="21"/>
          <w:highlight w:val="none"/>
        </w:rPr>
        <w:t>，后续需免费完成安装调试工作。（若供应商有更优惠的质保期，请在响应文件中明确应答）</w:t>
      </w:r>
    </w:p>
    <w:p>
      <w:pPr>
        <w:numPr>
          <w:ilvl w:val="0"/>
          <w:numId w:val="19"/>
        </w:numPr>
        <w:spacing w:line="440" w:lineRule="exact"/>
        <w:rPr>
          <w:bCs/>
          <w:color w:val="auto"/>
          <w:szCs w:val="21"/>
          <w:highlight w:val="none"/>
        </w:rPr>
      </w:pPr>
      <w:r>
        <w:rPr>
          <w:bCs/>
          <w:color w:val="auto"/>
          <w:szCs w:val="21"/>
          <w:highlight w:val="none"/>
        </w:rPr>
        <w:t>响应产品属于国家规定“三包”范围的，其产品质量保证期不得低于“三包”规定。</w:t>
      </w:r>
    </w:p>
    <w:p>
      <w:pPr>
        <w:numPr>
          <w:ilvl w:val="0"/>
          <w:numId w:val="19"/>
        </w:numPr>
        <w:spacing w:line="440" w:lineRule="exact"/>
        <w:rPr>
          <w:bCs/>
          <w:color w:val="auto"/>
          <w:szCs w:val="21"/>
          <w:highlight w:val="none"/>
        </w:rPr>
      </w:pPr>
      <w:r>
        <w:rPr>
          <w:bCs/>
          <w:color w:val="auto"/>
          <w:szCs w:val="21"/>
          <w:highlight w:val="none"/>
        </w:rPr>
        <w:t>供应商的质量保证期承诺优于国家“三包”规定的，按供应商实际承诺执行。</w:t>
      </w:r>
    </w:p>
    <w:p>
      <w:pPr>
        <w:numPr>
          <w:ilvl w:val="0"/>
          <w:numId w:val="19"/>
        </w:numPr>
        <w:spacing w:line="440" w:lineRule="exact"/>
        <w:rPr>
          <w:bCs/>
          <w:color w:val="auto"/>
          <w:szCs w:val="21"/>
          <w:highlight w:val="none"/>
        </w:rPr>
      </w:pPr>
      <w:r>
        <w:rPr>
          <w:bCs/>
          <w:color w:val="auto"/>
          <w:szCs w:val="21"/>
          <w:highlight w:val="none"/>
        </w:rPr>
        <w:t>响应产品应由制造商负责标准售后服务。</w:t>
      </w:r>
    </w:p>
    <w:p>
      <w:pPr>
        <w:spacing w:line="440" w:lineRule="exact"/>
        <w:rPr>
          <w:b/>
          <w:color w:val="auto"/>
          <w:szCs w:val="21"/>
          <w:highlight w:val="none"/>
        </w:rPr>
      </w:pPr>
      <w:r>
        <w:rPr>
          <w:b/>
          <w:color w:val="auto"/>
          <w:szCs w:val="21"/>
          <w:highlight w:val="none"/>
        </w:rPr>
        <w:t>3.2.2售后服务内容</w:t>
      </w:r>
    </w:p>
    <w:p>
      <w:pPr>
        <w:numPr>
          <w:ilvl w:val="0"/>
          <w:numId w:val="0"/>
        </w:numPr>
        <w:spacing w:line="440" w:lineRule="exact"/>
        <w:ind w:leftChars="0" w:firstLine="420" w:firstLineChars="200"/>
        <w:rPr>
          <w:rFonts w:hint="eastAsia" w:ascii="Times New Roman" w:hAnsi="Times New Roman" w:eastAsia="宋体" w:cs="Times New Roman"/>
          <w:bCs/>
          <w:color w:val="auto"/>
          <w:szCs w:val="21"/>
          <w:highlight w:val="none"/>
          <w:lang w:eastAsia="zh-CN"/>
        </w:rPr>
      </w:pPr>
      <w:r>
        <w:rPr>
          <w:rFonts w:hint="eastAsia" w:ascii="Times New Roman" w:hAnsi="Times New Roman" w:eastAsia="宋体" w:cs="Times New Roman"/>
          <w:bCs/>
          <w:color w:val="auto"/>
          <w:szCs w:val="21"/>
          <w:highlight w:val="none"/>
          <w:lang w:val="en-US" w:eastAsia="zh-CN"/>
        </w:rPr>
        <w:t>成交供应商</w:t>
      </w:r>
      <w:r>
        <w:rPr>
          <w:rFonts w:ascii="Times New Roman" w:hAnsi="Times New Roman" w:eastAsia="宋体" w:cs="Times New Roman"/>
          <w:bCs/>
          <w:color w:val="auto"/>
          <w:szCs w:val="21"/>
          <w:highlight w:val="none"/>
        </w:rPr>
        <w:t>和制造商应当为采购人提供技术援助电话，解答采购人在使用中遇到的问题，及时为采购人提出解决问题的建议。</w:t>
      </w:r>
      <w:r>
        <w:rPr>
          <w:rFonts w:hint="eastAsia" w:ascii="Times New Roman" w:hAnsi="Times New Roman" w:eastAsia="宋体" w:cs="Times New Roman"/>
          <w:bCs/>
          <w:color w:val="auto"/>
          <w:szCs w:val="21"/>
          <w:highlight w:val="none"/>
        </w:rPr>
        <w:t>24 小时内提供技术响应（通过邮件、电话、视频）；48 小时内能够提供解决方案</w:t>
      </w:r>
      <w:r>
        <w:rPr>
          <w:rFonts w:hint="eastAsia" w:ascii="Times New Roman" w:hAnsi="Times New Roman" w:eastAsia="宋体" w:cs="Times New Roman"/>
          <w:bCs/>
          <w:color w:val="auto"/>
          <w:szCs w:val="21"/>
          <w:highlight w:val="none"/>
          <w:lang w:eastAsia="zh-CN"/>
        </w:rPr>
        <w:t>。</w:t>
      </w:r>
    </w:p>
    <w:p>
      <w:pPr>
        <w:spacing w:line="440" w:lineRule="exact"/>
        <w:rPr>
          <w:b/>
          <w:color w:val="auto"/>
          <w:szCs w:val="21"/>
          <w:highlight w:val="none"/>
        </w:rPr>
      </w:pPr>
      <w:r>
        <w:rPr>
          <w:b/>
          <w:color w:val="auto"/>
          <w:szCs w:val="21"/>
          <w:highlight w:val="none"/>
        </w:rPr>
        <w:t>3.2.3质保期外服务要求</w:t>
      </w:r>
    </w:p>
    <w:p>
      <w:pPr>
        <w:numPr>
          <w:ilvl w:val="0"/>
          <w:numId w:val="20"/>
        </w:numPr>
        <w:spacing w:line="440" w:lineRule="exact"/>
        <w:rPr>
          <w:bCs/>
          <w:color w:val="auto"/>
          <w:szCs w:val="21"/>
          <w:highlight w:val="none"/>
        </w:rPr>
      </w:pPr>
      <w:r>
        <w:rPr>
          <w:bCs/>
          <w:color w:val="auto"/>
          <w:szCs w:val="21"/>
          <w:highlight w:val="none"/>
        </w:rPr>
        <w:t>质量保证期过后，供应商和制造商应提供免费电话咨询服务，并应承诺提供产品上门维护服务，提供与保修期内同等质量的技术服务，包括服务响应时间、处理解决问题的效果等。</w:t>
      </w:r>
    </w:p>
    <w:p>
      <w:pPr>
        <w:numPr>
          <w:ilvl w:val="0"/>
          <w:numId w:val="20"/>
        </w:numPr>
        <w:spacing w:line="440" w:lineRule="exact"/>
        <w:rPr>
          <w:bCs/>
          <w:color w:val="auto"/>
          <w:szCs w:val="21"/>
          <w:highlight w:val="none"/>
        </w:rPr>
      </w:pPr>
      <w:r>
        <w:rPr>
          <w:bCs/>
          <w:color w:val="auto"/>
          <w:szCs w:val="21"/>
          <w:highlight w:val="none"/>
        </w:rPr>
        <w:t>质量保证期过后，采购人需要继续由原供应商和制造商提供售后服务的，终身提供技术支持，并以优惠价维修设备、提供损坏的零件和配套件，终身服务。</w:t>
      </w:r>
    </w:p>
    <w:p>
      <w:pPr>
        <w:spacing w:line="440" w:lineRule="exact"/>
        <w:rPr>
          <w:b/>
          <w:color w:val="auto"/>
          <w:szCs w:val="21"/>
          <w:highlight w:val="none"/>
        </w:rPr>
      </w:pPr>
      <w:r>
        <w:rPr>
          <w:b/>
          <w:color w:val="auto"/>
          <w:szCs w:val="21"/>
          <w:highlight w:val="none"/>
        </w:rPr>
        <w:t>3.2.4备品备件及易损件</w:t>
      </w:r>
    </w:p>
    <w:p>
      <w:pPr>
        <w:spacing w:line="440" w:lineRule="exact"/>
        <w:ind w:firstLine="420" w:firstLineChars="200"/>
        <w:rPr>
          <w:bCs/>
          <w:color w:val="auto"/>
          <w:szCs w:val="21"/>
          <w:highlight w:val="none"/>
        </w:rPr>
      </w:pPr>
      <w:r>
        <w:rPr>
          <w:bCs/>
          <w:color w:val="auto"/>
          <w:szCs w:val="21"/>
          <w:highlight w:val="none"/>
        </w:rPr>
        <w:t>成交人和制造商售后服务中，维修使用的备品备件及易损件应为原厂配件，未经采购人同意不得使用非原厂配件，常用的、容易损坏的备品备件及易损件的价格清单须在响应文件中列出。</w:t>
      </w:r>
      <w:bookmarkStart w:id="56" w:name="_Toc7027"/>
    </w:p>
    <w:p>
      <w:pPr>
        <w:spacing w:line="440" w:lineRule="exact"/>
        <w:ind w:firstLine="440" w:firstLineChars="200"/>
        <w:rPr>
          <w:b/>
          <w:bCs/>
          <w:color w:val="auto"/>
          <w:szCs w:val="21"/>
          <w:highlight w:val="none"/>
        </w:rPr>
      </w:pPr>
      <w:r>
        <w:rPr>
          <w:color w:val="auto"/>
          <w:sz w:val="22"/>
          <w:highlight w:val="none"/>
        </w:rPr>
        <w:t>供应商应对设备提供终身的维修服务、并保证设备所需零备件的长期供应。</w:t>
      </w:r>
    </w:p>
    <w:bookmarkEnd w:id="56"/>
    <w:p>
      <w:pPr>
        <w:spacing w:line="440" w:lineRule="exact"/>
        <w:rPr>
          <w:b/>
          <w:bCs/>
          <w:color w:val="auto"/>
          <w:highlight w:val="none"/>
        </w:rPr>
      </w:pPr>
      <w:bookmarkStart w:id="57" w:name="_Toc78978999"/>
      <w:bookmarkStart w:id="58" w:name="_Toc341777731"/>
      <w:bookmarkStart w:id="59" w:name="_Toc338159969"/>
      <w:r>
        <w:rPr>
          <w:b/>
          <w:bCs/>
          <w:color w:val="auto"/>
          <w:highlight w:val="none"/>
        </w:rPr>
        <w:t>3.3培训</w:t>
      </w:r>
      <w:bookmarkEnd w:id="57"/>
      <w:bookmarkEnd w:id="58"/>
      <w:bookmarkEnd w:id="59"/>
    </w:p>
    <w:p>
      <w:pPr>
        <w:pStyle w:val="11"/>
        <w:spacing w:line="440" w:lineRule="exact"/>
        <w:ind w:firstLine="440"/>
        <w:rPr>
          <w:color w:val="auto"/>
          <w:highlight w:val="none"/>
        </w:rPr>
      </w:pPr>
      <w:bookmarkStart w:id="60" w:name="_Toc13432"/>
      <w:r>
        <w:rPr>
          <w:color w:val="auto"/>
          <w:sz w:val="22"/>
          <w:highlight w:val="none"/>
        </w:rPr>
        <w:t>设备安装、调试、验收完成后，投标方对用户操作、维护人员进行免费培训，包括软件、硬件的操作和日常维护、典型应用工艺，培训时间</w:t>
      </w:r>
      <w:r>
        <w:rPr>
          <w:color w:val="auto"/>
          <w:sz w:val="22"/>
          <w:highlight w:val="none"/>
          <w:u w:val="single"/>
        </w:rPr>
        <w:t>不少于</w:t>
      </w:r>
      <w:r>
        <w:rPr>
          <w:rFonts w:hint="eastAsia"/>
          <w:color w:val="auto"/>
          <w:sz w:val="22"/>
          <w:highlight w:val="none"/>
          <w:u w:val="single"/>
          <w:lang w:val="en-US" w:eastAsia="zh-CN"/>
        </w:rPr>
        <w:t>3</w:t>
      </w:r>
      <w:r>
        <w:rPr>
          <w:color w:val="auto"/>
          <w:sz w:val="22"/>
          <w:highlight w:val="none"/>
          <w:u w:val="single"/>
        </w:rPr>
        <w:t>天</w:t>
      </w:r>
      <w:r>
        <w:rPr>
          <w:bCs/>
          <w:color w:val="auto"/>
          <w:szCs w:val="21"/>
          <w:highlight w:val="none"/>
        </w:rPr>
        <w:t>。</w:t>
      </w:r>
    </w:p>
    <w:p>
      <w:pPr>
        <w:spacing w:line="440" w:lineRule="exact"/>
        <w:rPr>
          <w:b/>
          <w:bCs/>
          <w:color w:val="auto"/>
          <w:highlight w:val="none"/>
        </w:rPr>
      </w:pPr>
      <w:bookmarkStart w:id="61" w:name="_Toc78979000"/>
      <w:r>
        <w:rPr>
          <w:b/>
          <w:bCs/>
          <w:color w:val="auto"/>
          <w:highlight w:val="none"/>
        </w:rPr>
        <w:t>3.4附件、图纸及包装要求</w:t>
      </w:r>
      <w:bookmarkEnd w:id="60"/>
      <w:bookmarkEnd w:id="61"/>
    </w:p>
    <w:p>
      <w:pPr>
        <w:spacing w:line="440" w:lineRule="exact"/>
        <w:ind w:firstLine="420" w:firstLineChars="200"/>
        <w:rPr>
          <w:bCs/>
          <w:color w:val="auto"/>
          <w:szCs w:val="21"/>
          <w:highlight w:val="none"/>
        </w:rPr>
      </w:pPr>
      <w:r>
        <w:rPr>
          <w:bCs/>
          <w:color w:val="auto"/>
          <w:szCs w:val="21"/>
          <w:highlight w:val="none"/>
        </w:rPr>
        <w:t>所有设备按照制造商规定的产品包装和随机标准附件为准。</w:t>
      </w:r>
    </w:p>
    <w:p>
      <w:pPr>
        <w:spacing w:line="440" w:lineRule="exact"/>
        <w:rPr>
          <w:b/>
          <w:bCs/>
          <w:color w:val="auto"/>
          <w:highlight w:val="none"/>
        </w:rPr>
      </w:pPr>
      <w:bookmarkStart w:id="62" w:name="_Toc78979001"/>
      <w:bookmarkStart w:id="63" w:name="_Toc4451"/>
      <w:r>
        <w:rPr>
          <w:b/>
          <w:bCs/>
          <w:color w:val="auto"/>
          <w:highlight w:val="none"/>
        </w:rPr>
        <w:t>3.5其他商务要求内容</w:t>
      </w:r>
      <w:bookmarkEnd w:id="62"/>
      <w:bookmarkEnd w:id="63"/>
    </w:p>
    <w:p>
      <w:pPr>
        <w:numPr>
          <w:ilvl w:val="0"/>
          <w:numId w:val="21"/>
        </w:numPr>
        <w:spacing w:line="440" w:lineRule="exact"/>
        <w:ind w:firstLine="440" w:firstLineChars="200"/>
        <w:rPr>
          <w:color w:val="auto"/>
          <w:sz w:val="22"/>
          <w:highlight w:val="none"/>
        </w:rPr>
      </w:pPr>
      <w:r>
        <w:rPr>
          <w:color w:val="auto"/>
          <w:sz w:val="22"/>
          <w:highlight w:val="none"/>
        </w:rPr>
        <w:t>包装箱应用新的坚固材料制成，适合长途运输，能空运、陆运和整体吊装，能防潮、防锈、防震。</w:t>
      </w:r>
    </w:p>
    <w:p>
      <w:pPr>
        <w:numPr>
          <w:ilvl w:val="0"/>
          <w:numId w:val="21"/>
        </w:numPr>
        <w:spacing w:line="440" w:lineRule="exact"/>
        <w:ind w:firstLine="440" w:firstLineChars="200"/>
        <w:rPr>
          <w:color w:val="auto"/>
          <w:sz w:val="22"/>
          <w:highlight w:val="none"/>
        </w:rPr>
      </w:pPr>
      <w:r>
        <w:rPr>
          <w:color w:val="auto"/>
          <w:sz w:val="22"/>
          <w:highlight w:val="none"/>
        </w:rPr>
        <w:t>运输方式为航空运输及/或陆地运输。设备由制造工厂到交货地点的运输由卖方负责，运输费、保险费应单独报价、且计入投标总价之内。</w:t>
      </w:r>
    </w:p>
    <w:p>
      <w:pPr>
        <w:spacing w:line="440" w:lineRule="exact"/>
        <w:ind w:firstLine="420" w:firstLineChars="200"/>
        <w:rPr>
          <w:color w:val="auto"/>
          <w:kern w:val="0"/>
          <w:szCs w:val="21"/>
          <w:highlight w:val="none"/>
          <w:shd w:val="clear" w:color="auto" w:fill="FFFFFF"/>
        </w:rPr>
      </w:pPr>
      <w:r>
        <w:rPr>
          <w:bCs/>
          <w:color w:val="auto"/>
          <w:szCs w:val="21"/>
          <w:highlight w:val="none"/>
        </w:rPr>
        <w:t>3）其他未尽事宜由供需双方在采购合同中详细约定</w:t>
      </w:r>
      <w:r>
        <w:rPr>
          <w:color w:val="auto"/>
          <w:kern w:val="0"/>
          <w:szCs w:val="21"/>
          <w:highlight w:val="none"/>
          <w:shd w:val="clear" w:color="auto" w:fill="FFFFFF"/>
        </w:rPr>
        <w:t>。</w:t>
      </w:r>
    </w:p>
    <w:p>
      <w:pPr>
        <w:rPr>
          <w:color w:val="auto"/>
          <w:kern w:val="0"/>
          <w:szCs w:val="21"/>
          <w:highlight w:val="none"/>
          <w:shd w:val="clear" w:color="auto" w:fill="FFFFFF"/>
        </w:rPr>
      </w:pPr>
      <w:r>
        <w:rPr>
          <w:b/>
          <w:bCs/>
          <w:color w:val="auto"/>
          <w:kern w:val="0"/>
          <w:szCs w:val="21"/>
          <w:highlight w:val="none"/>
          <w:shd w:val="clear" w:color="auto" w:fill="FFFFFF"/>
        </w:rPr>
        <w:br w:type="page"/>
      </w:r>
    </w:p>
    <w:p>
      <w:pPr>
        <w:pStyle w:val="2"/>
        <w:keepLines w:val="0"/>
        <w:widowControl w:val="0"/>
        <w:tabs>
          <w:tab w:val="left" w:pos="1530"/>
          <w:tab w:val="left" w:pos="3360"/>
          <w:tab w:val="left" w:pos="8052"/>
        </w:tabs>
        <w:adjustRightInd/>
        <w:spacing w:line="480" w:lineRule="auto"/>
        <w:ind w:left="1531" w:hanging="1531"/>
        <w:rPr>
          <w:rFonts w:eastAsia="宋体"/>
          <w:bCs w:val="0"/>
          <w:color w:val="auto"/>
          <w:kern w:val="2"/>
          <w:szCs w:val="36"/>
          <w:highlight w:val="none"/>
        </w:rPr>
      </w:pPr>
      <w:r>
        <w:rPr>
          <w:rFonts w:eastAsia="宋体"/>
          <w:bCs w:val="0"/>
          <w:color w:val="auto"/>
          <w:kern w:val="2"/>
          <w:szCs w:val="36"/>
          <w:highlight w:val="none"/>
        </w:rPr>
        <w:t>第五章 评比响应文件格式</w:t>
      </w:r>
      <w:bookmarkEnd w:id="50"/>
    </w:p>
    <w:p>
      <w:pPr>
        <w:ind w:firstLine="1470" w:firstLineChars="700"/>
        <w:rPr>
          <w:color w:val="auto"/>
          <w:kern w:val="44"/>
          <w:sz w:val="36"/>
          <w:szCs w:val="36"/>
          <w:highlight w:val="none"/>
          <w:u w:val="single"/>
        </w:rPr>
      </w:pPr>
      <w:bookmarkStart w:id="64" w:name="_Toc10213451"/>
      <w:bookmarkStart w:id="65" w:name="_Toc68963480"/>
      <w:r>
        <w:rPr>
          <w:color w:val="auto"/>
          <w:kern w:val="0"/>
          <w:szCs w:val="21"/>
          <w:highlight w:val="none"/>
          <w:shd w:val="clear" w:color="auto" w:fill="FFFFFF"/>
        </w:rPr>
        <w:t xml:space="preserve">    </w:t>
      </w:r>
      <w:r>
        <w:rPr>
          <w:color w:val="auto"/>
          <w:kern w:val="44"/>
          <w:sz w:val="36"/>
          <w:szCs w:val="36"/>
          <w:highlight w:val="none"/>
          <w:u w:val="single"/>
        </w:rPr>
        <w:t xml:space="preserve">       项目名称       </w:t>
      </w:r>
    </w:p>
    <w:p>
      <w:pPr>
        <w:jc w:val="center"/>
        <w:rPr>
          <w:color w:val="auto"/>
          <w:kern w:val="44"/>
          <w:sz w:val="32"/>
          <w:szCs w:val="32"/>
          <w:highlight w:val="none"/>
        </w:rPr>
      </w:pPr>
    </w:p>
    <w:p>
      <w:pPr>
        <w:jc w:val="center"/>
        <w:rPr>
          <w:color w:val="auto"/>
          <w:kern w:val="44"/>
          <w:sz w:val="32"/>
          <w:szCs w:val="32"/>
          <w:highlight w:val="none"/>
        </w:rPr>
      </w:pPr>
    </w:p>
    <w:p>
      <w:pPr>
        <w:jc w:val="center"/>
        <w:rPr>
          <w:color w:val="auto"/>
          <w:kern w:val="44"/>
          <w:sz w:val="32"/>
          <w:szCs w:val="32"/>
          <w:highlight w:val="none"/>
        </w:rPr>
      </w:pPr>
    </w:p>
    <w:p>
      <w:pPr>
        <w:jc w:val="center"/>
        <w:rPr>
          <w:color w:val="auto"/>
          <w:kern w:val="44"/>
          <w:sz w:val="32"/>
          <w:szCs w:val="32"/>
          <w:highlight w:val="none"/>
        </w:rPr>
      </w:pPr>
    </w:p>
    <w:p>
      <w:pPr>
        <w:jc w:val="center"/>
        <w:rPr>
          <w:color w:val="auto"/>
          <w:kern w:val="44"/>
          <w:sz w:val="32"/>
          <w:szCs w:val="32"/>
          <w:highlight w:val="none"/>
        </w:rPr>
      </w:pPr>
    </w:p>
    <w:p>
      <w:pPr>
        <w:jc w:val="center"/>
        <w:rPr>
          <w:color w:val="auto"/>
          <w:kern w:val="44"/>
          <w:sz w:val="32"/>
          <w:szCs w:val="32"/>
          <w:highlight w:val="none"/>
        </w:rPr>
      </w:pPr>
    </w:p>
    <w:p>
      <w:pPr>
        <w:jc w:val="center"/>
        <w:rPr>
          <w:color w:val="auto"/>
          <w:kern w:val="44"/>
          <w:sz w:val="32"/>
          <w:szCs w:val="32"/>
          <w:highlight w:val="none"/>
        </w:rPr>
      </w:pPr>
    </w:p>
    <w:p>
      <w:pPr>
        <w:jc w:val="center"/>
        <w:rPr>
          <w:b/>
          <w:color w:val="auto"/>
          <w:sz w:val="52"/>
          <w:szCs w:val="52"/>
          <w:highlight w:val="none"/>
        </w:rPr>
      </w:pPr>
      <w:r>
        <w:rPr>
          <w:b/>
          <w:color w:val="auto"/>
          <w:sz w:val="52"/>
          <w:szCs w:val="52"/>
          <w:highlight w:val="none"/>
        </w:rPr>
        <w:t>评 比 响 应 文 件</w:t>
      </w:r>
    </w:p>
    <w:p>
      <w:pPr>
        <w:jc w:val="center"/>
        <w:rPr>
          <w:color w:val="auto"/>
          <w:kern w:val="44"/>
          <w:sz w:val="32"/>
          <w:szCs w:val="32"/>
          <w:highlight w:val="none"/>
        </w:rPr>
      </w:pPr>
      <w:r>
        <w:rPr>
          <w:color w:val="auto"/>
          <w:kern w:val="44"/>
          <w:sz w:val="32"/>
          <w:szCs w:val="32"/>
          <w:highlight w:val="none"/>
        </w:rPr>
        <w:t>项目编号：</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ind w:left="1418" w:leftChars="675"/>
        <w:rPr>
          <w:color w:val="auto"/>
          <w:sz w:val="28"/>
          <w:szCs w:val="28"/>
          <w:highlight w:val="none"/>
        </w:rPr>
      </w:pPr>
      <w:r>
        <w:rPr>
          <w:color w:val="auto"/>
          <w:sz w:val="28"/>
          <w:szCs w:val="28"/>
          <w:highlight w:val="none"/>
        </w:rPr>
        <w:t>供应商名称（盖章）：</w:t>
      </w:r>
    </w:p>
    <w:p>
      <w:pPr>
        <w:ind w:left="1418" w:leftChars="675"/>
        <w:rPr>
          <w:color w:val="auto"/>
          <w:sz w:val="28"/>
          <w:szCs w:val="28"/>
          <w:highlight w:val="none"/>
        </w:rPr>
      </w:pPr>
      <w:r>
        <w:rPr>
          <w:color w:val="auto"/>
          <w:sz w:val="28"/>
          <w:szCs w:val="28"/>
          <w:highlight w:val="none"/>
        </w:rPr>
        <w:t>法定代表人（或法定代表人授权代表）（签署或盖章）：</w:t>
      </w:r>
    </w:p>
    <w:p>
      <w:pPr>
        <w:jc w:val="center"/>
        <w:rPr>
          <w:color w:val="auto"/>
          <w:sz w:val="28"/>
          <w:szCs w:val="28"/>
          <w:highlight w:val="none"/>
        </w:rPr>
      </w:pPr>
    </w:p>
    <w:p>
      <w:pPr>
        <w:jc w:val="center"/>
        <w:rPr>
          <w:color w:val="auto"/>
          <w:sz w:val="28"/>
          <w:szCs w:val="28"/>
          <w:highlight w:val="none"/>
        </w:rPr>
      </w:pPr>
      <w:r>
        <w:rPr>
          <w:color w:val="auto"/>
          <w:sz w:val="28"/>
          <w:szCs w:val="28"/>
          <w:highlight w:val="none"/>
        </w:rPr>
        <w:t>日期：  年   月   日</w:t>
      </w:r>
    </w:p>
    <w:p>
      <w:pPr>
        <w:ind w:firstLine="1470" w:firstLineChars="700"/>
        <w:rPr>
          <w:color w:val="auto"/>
          <w:kern w:val="0"/>
          <w:szCs w:val="21"/>
          <w:highlight w:val="none"/>
          <w:shd w:val="clear" w:color="auto" w:fill="FFFFFF"/>
        </w:rPr>
      </w:pPr>
    </w:p>
    <w:p>
      <w:pPr>
        <w:jc w:val="center"/>
        <w:rPr>
          <w:color w:val="auto"/>
          <w:kern w:val="0"/>
          <w:szCs w:val="21"/>
          <w:highlight w:val="none"/>
          <w:shd w:val="clear" w:color="auto" w:fill="FFFFFF"/>
        </w:rPr>
      </w:pPr>
    </w:p>
    <w:p>
      <w:pPr>
        <w:jc w:val="center"/>
        <w:rPr>
          <w:color w:val="auto"/>
          <w:kern w:val="0"/>
          <w:szCs w:val="21"/>
          <w:highlight w:val="none"/>
          <w:shd w:val="clear" w:color="auto" w:fill="FFFFFF"/>
        </w:rPr>
      </w:pPr>
    </w:p>
    <w:p>
      <w:pPr>
        <w:jc w:val="center"/>
        <w:rPr>
          <w:color w:val="auto"/>
          <w:kern w:val="0"/>
          <w:szCs w:val="21"/>
          <w:highlight w:val="none"/>
          <w:shd w:val="clear" w:color="auto" w:fill="FFFFFF"/>
        </w:rPr>
      </w:pPr>
    </w:p>
    <w:p>
      <w:pPr>
        <w:jc w:val="center"/>
        <w:rPr>
          <w:color w:val="auto"/>
          <w:kern w:val="0"/>
          <w:szCs w:val="21"/>
          <w:highlight w:val="none"/>
          <w:shd w:val="clear" w:color="auto" w:fill="FFFFFF"/>
        </w:rPr>
      </w:pPr>
    </w:p>
    <w:p>
      <w:pPr>
        <w:jc w:val="center"/>
        <w:rPr>
          <w:color w:val="auto"/>
          <w:kern w:val="0"/>
          <w:szCs w:val="21"/>
          <w:highlight w:val="none"/>
          <w:shd w:val="clear" w:color="auto" w:fill="FFFFFF"/>
        </w:rPr>
      </w:pPr>
    </w:p>
    <w:p>
      <w:pPr>
        <w:jc w:val="center"/>
        <w:rPr>
          <w:color w:val="auto"/>
          <w:kern w:val="0"/>
          <w:szCs w:val="21"/>
          <w:highlight w:val="none"/>
          <w:shd w:val="clear" w:color="auto" w:fill="FFFFFF"/>
        </w:rPr>
      </w:pPr>
    </w:p>
    <w:p>
      <w:pPr>
        <w:jc w:val="center"/>
        <w:rPr>
          <w:color w:val="auto"/>
          <w:kern w:val="0"/>
          <w:szCs w:val="21"/>
          <w:highlight w:val="none"/>
          <w:shd w:val="clear" w:color="auto" w:fill="FFFFFF"/>
        </w:rPr>
      </w:pPr>
    </w:p>
    <w:p>
      <w:pPr>
        <w:jc w:val="center"/>
        <w:rPr>
          <w:color w:val="auto"/>
          <w:kern w:val="0"/>
          <w:szCs w:val="21"/>
          <w:highlight w:val="none"/>
          <w:shd w:val="clear" w:color="auto" w:fill="FFFFFF"/>
        </w:rPr>
      </w:pPr>
    </w:p>
    <w:p>
      <w:pPr>
        <w:jc w:val="center"/>
        <w:rPr>
          <w:color w:val="auto"/>
          <w:kern w:val="0"/>
          <w:szCs w:val="21"/>
          <w:highlight w:val="none"/>
          <w:shd w:val="clear" w:color="auto" w:fill="FFFFFF"/>
        </w:rPr>
      </w:pPr>
    </w:p>
    <w:p>
      <w:pPr>
        <w:jc w:val="center"/>
        <w:rPr>
          <w:color w:val="auto"/>
          <w:kern w:val="0"/>
          <w:szCs w:val="21"/>
          <w:highlight w:val="none"/>
          <w:shd w:val="clear" w:color="auto" w:fill="FFFFFF"/>
        </w:rPr>
      </w:pPr>
    </w:p>
    <w:p>
      <w:pPr>
        <w:jc w:val="center"/>
        <w:rPr>
          <w:color w:val="auto"/>
          <w:kern w:val="0"/>
          <w:szCs w:val="21"/>
          <w:highlight w:val="none"/>
          <w:shd w:val="clear" w:color="auto" w:fill="FFFFFF"/>
        </w:rPr>
      </w:pPr>
    </w:p>
    <w:p>
      <w:pPr>
        <w:jc w:val="center"/>
        <w:rPr>
          <w:color w:val="auto"/>
          <w:kern w:val="0"/>
          <w:szCs w:val="21"/>
          <w:highlight w:val="none"/>
          <w:shd w:val="clear" w:color="auto" w:fill="FFFFFF"/>
        </w:rPr>
      </w:pPr>
    </w:p>
    <w:p>
      <w:pPr>
        <w:jc w:val="center"/>
        <w:rPr>
          <w:color w:val="auto"/>
          <w:kern w:val="0"/>
          <w:szCs w:val="21"/>
          <w:highlight w:val="none"/>
          <w:shd w:val="clear" w:color="auto" w:fill="FFFFFF"/>
        </w:rPr>
      </w:pPr>
    </w:p>
    <w:p>
      <w:pPr>
        <w:jc w:val="center"/>
        <w:rPr>
          <w:color w:val="auto"/>
          <w:kern w:val="0"/>
          <w:szCs w:val="21"/>
          <w:highlight w:val="none"/>
          <w:shd w:val="clear" w:color="auto" w:fill="FFFFFF"/>
        </w:rPr>
      </w:pPr>
    </w:p>
    <w:p>
      <w:pPr>
        <w:pStyle w:val="3"/>
        <w:rPr>
          <w:rFonts w:ascii="Times New Roman" w:hAnsi="Times New Roman" w:eastAsia="宋体"/>
          <w:color w:val="auto"/>
          <w:sz w:val="32"/>
          <w:highlight w:val="none"/>
        </w:rPr>
      </w:pPr>
    </w:p>
    <w:bookmarkEnd w:id="64"/>
    <w:bookmarkEnd w:id="65"/>
    <w:p>
      <w:pPr>
        <w:rPr>
          <w:rFonts w:ascii="Times New Roman" w:hAnsi="Times New Roman" w:eastAsia="宋体"/>
          <w:color w:val="auto"/>
          <w:sz w:val="32"/>
          <w:highlight w:val="none"/>
        </w:rPr>
      </w:pPr>
      <w:bookmarkStart w:id="66" w:name="_Toc68963492"/>
      <w:r>
        <w:rPr>
          <w:rFonts w:ascii="Times New Roman" w:hAnsi="Times New Roman" w:eastAsia="宋体"/>
          <w:color w:val="auto"/>
          <w:sz w:val="32"/>
          <w:highlight w:val="none"/>
        </w:rPr>
        <w:br w:type="page"/>
      </w:r>
    </w:p>
    <w:p>
      <w:pPr>
        <w:pStyle w:val="3"/>
        <w:rPr>
          <w:rFonts w:ascii="Times New Roman" w:hAnsi="Times New Roman" w:eastAsia="宋体"/>
          <w:color w:val="auto"/>
          <w:sz w:val="32"/>
          <w:highlight w:val="none"/>
        </w:rPr>
      </w:pPr>
      <w:r>
        <w:rPr>
          <w:rFonts w:ascii="Times New Roman" w:hAnsi="Times New Roman" w:eastAsia="宋体"/>
          <w:color w:val="auto"/>
          <w:sz w:val="32"/>
          <w:highlight w:val="none"/>
        </w:rPr>
        <w:t>评比函</w:t>
      </w:r>
    </w:p>
    <w:p>
      <w:pPr>
        <w:rPr>
          <w:color w:val="auto"/>
          <w:highlight w:val="none"/>
        </w:rPr>
      </w:pPr>
    </w:p>
    <w:p>
      <w:pPr>
        <w:adjustRightInd w:val="0"/>
        <w:snapToGrid w:val="0"/>
        <w:spacing w:line="440" w:lineRule="exact"/>
        <w:rPr>
          <w:color w:val="auto"/>
          <w:szCs w:val="21"/>
          <w:highlight w:val="none"/>
        </w:rPr>
      </w:pPr>
      <w:r>
        <w:rPr>
          <w:color w:val="auto"/>
          <w:szCs w:val="21"/>
          <w:highlight w:val="none"/>
        </w:rPr>
        <w:t xml:space="preserve">评比编号： </w:t>
      </w:r>
    </w:p>
    <w:p>
      <w:pPr>
        <w:adjustRightInd w:val="0"/>
        <w:snapToGrid w:val="0"/>
        <w:spacing w:line="440" w:lineRule="exact"/>
        <w:rPr>
          <w:color w:val="auto"/>
          <w:szCs w:val="21"/>
          <w:highlight w:val="none"/>
        </w:rPr>
      </w:pPr>
      <w:r>
        <w:rPr>
          <w:color w:val="auto"/>
          <w:szCs w:val="21"/>
          <w:highlight w:val="none"/>
        </w:rPr>
        <w:t xml:space="preserve">项目名称： </w:t>
      </w:r>
    </w:p>
    <w:p>
      <w:pPr>
        <w:adjustRightInd w:val="0"/>
        <w:snapToGrid w:val="0"/>
        <w:spacing w:line="440" w:lineRule="exact"/>
        <w:rPr>
          <w:color w:val="auto"/>
          <w:szCs w:val="21"/>
          <w:highlight w:val="none"/>
          <w:u w:val="single"/>
        </w:rPr>
      </w:pPr>
      <w:r>
        <w:rPr>
          <w:b/>
          <w:bCs/>
          <w:color w:val="auto"/>
          <w:szCs w:val="21"/>
          <w:highlight w:val="none"/>
        </w:rPr>
        <w:t xml:space="preserve">致: </w:t>
      </w:r>
      <w:r>
        <w:rPr>
          <w:b/>
          <w:bCs/>
          <w:color w:val="auto"/>
          <w:szCs w:val="21"/>
          <w:highlight w:val="none"/>
          <w:u w:val="single"/>
        </w:rPr>
        <w:t xml:space="preserve">                 </w:t>
      </w:r>
      <w:r>
        <w:rPr>
          <w:color w:val="auto"/>
          <w:szCs w:val="21"/>
          <w:highlight w:val="none"/>
        </w:rPr>
        <w:t>（采购代理机构名称）：</w:t>
      </w:r>
    </w:p>
    <w:p>
      <w:pPr>
        <w:tabs>
          <w:tab w:val="left" w:pos="2700"/>
        </w:tabs>
        <w:adjustRightInd w:val="0"/>
        <w:snapToGrid w:val="0"/>
        <w:spacing w:line="440" w:lineRule="exact"/>
        <w:ind w:firstLine="420" w:firstLineChars="200"/>
        <w:rPr>
          <w:color w:val="auto"/>
          <w:szCs w:val="21"/>
          <w:highlight w:val="none"/>
        </w:rPr>
      </w:pPr>
      <w:r>
        <w:rPr>
          <w:color w:val="auto"/>
          <w:szCs w:val="21"/>
          <w:highlight w:val="none"/>
        </w:rPr>
        <w:t>1、我们收到并研究了贵单位的评比文件，对全部评比文件予以确认，愿意按评比文件规定的内容，承担本项目的服务，并保证严格履行我们所承诺的责任和义务。</w:t>
      </w:r>
    </w:p>
    <w:p>
      <w:pPr>
        <w:tabs>
          <w:tab w:val="left" w:pos="2700"/>
        </w:tabs>
        <w:adjustRightInd w:val="0"/>
        <w:snapToGrid w:val="0"/>
        <w:spacing w:line="440" w:lineRule="exact"/>
        <w:ind w:firstLine="420" w:firstLineChars="200"/>
        <w:rPr>
          <w:color w:val="auto"/>
          <w:szCs w:val="21"/>
          <w:highlight w:val="none"/>
        </w:rPr>
      </w:pPr>
      <w:r>
        <w:rPr>
          <w:color w:val="auto"/>
          <w:szCs w:val="21"/>
          <w:highlight w:val="none"/>
        </w:rPr>
        <w:t>2、我单位针对本项目的总报价为</w:t>
      </w:r>
      <w:r>
        <w:rPr>
          <w:b/>
          <w:color w:val="auto"/>
          <w:szCs w:val="21"/>
          <w:highlight w:val="none"/>
          <w:u w:val="single"/>
        </w:rPr>
        <w:t xml:space="preserve">          </w:t>
      </w:r>
      <w:r>
        <w:rPr>
          <w:bCs/>
          <w:color w:val="auto"/>
          <w:szCs w:val="21"/>
          <w:highlight w:val="none"/>
        </w:rPr>
        <w:t>万元</w:t>
      </w:r>
      <w:r>
        <w:rPr>
          <w:color w:val="auto"/>
          <w:szCs w:val="21"/>
          <w:highlight w:val="none"/>
        </w:rPr>
        <w:t>，</w:t>
      </w:r>
      <w:r>
        <w:rPr>
          <w:rFonts w:hint="eastAsia"/>
          <w:color w:val="auto"/>
          <w:szCs w:val="21"/>
          <w:highlight w:val="none"/>
          <w:lang w:val="en-US" w:eastAsia="zh-CN"/>
        </w:rPr>
        <w:t>供货期</w:t>
      </w:r>
      <w:r>
        <w:rPr>
          <w:color w:val="auto"/>
          <w:szCs w:val="21"/>
          <w:highlight w:val="none"/>
        </w:rPr>
        <w:t>：</w:t>
      </w:r>
      <w:r>
        <w:rPr>
          <w:b/>
          <w:color w:val="auto"/>
          <w:szCs w:val="21"/>
          <w:highlight w:val="none"/>
          <w:u w:val="single"/>
        </w:rPr>
        <w:t xml:space="preserve">        </w:t>
      </w:r>
      <w:r>
        <w:rPr>
          <w:color w:val="auto"/>
          <w:szCs w:val="21"/>
          <w:highlight w:val="none"/>
        </w:rPr>
        <w:t xml:space="preserve"> </w:t>
      </w:r>
      <w:r>
        <w:rPr>
          <w:b/>
          <w:color w:val="auto"/>
          <w:szCs w:val="21"/>
          <w:highlight w:val="none"/>
          <w:u w:val="none"/>
        </w:rPr>
        <w:t>。</w:t>
      </w:r>
      <w:r>
        <w:rPr>
          <w:color w:val="auto"/>
          <w:szCs w:val="21"/>
          <w:highlight w:val="none"/>
        </w:rPr>
        <w:t>本评比报价己考虑了所有因素，评比有效期内，评比价格保持不变。</w:t>
      </w:r>
    </w:p>
    <w:p>
      <w:pPr>
        <w:adjustRightInd w:val="0"/>
        <w:snapToGrid w:val="0"/>
        <w:spacing w:line="440" w:lineRule="exact"/>
        <w:ind w:firstLine="420" w:firstLineChars="200"/>
        <w:rPr>
          <w:color w:val="auto"/>
          <w:szCs w:val="21"/>
          <w:highlight w:val="none"/>
        </w:rPr>
      </w:pPr>
      <w:r>
        <w:rPr>
          <w:color w:val="auto"/>
          <w:szCs w:val="21"/>
          <w:highlight w:val="none"/>
        </w:rPr>
        <w:t>3、我们已详细审查全部评比文件，包括修改文件（如果有的话）以及全部参考资料和有关附件。我们完全理解并同意放弃对这方面有不明及误解的权利。</w:t>
      </w:r>
    </w:p>
    <w:p>
      <w:pPr>
        <w:adjustRightInd w:val="0"/>
        <w:snapToGrid w:val="0"/>
        <w:spacing w:line="440" w:lineRule="exact"/>
        <w:ind w:firstLine="420" w:firstLineChars="200"/>
        <w:rPr>
          <w:color w:val="auto"/>
          <w:szCs w:val="21"/>
          <w:highlight w:val="none"/>
        </w:rPr>
      </w:pPr>
      <w:r>
        <w:rPr>
          <w:color w:val="auto"/>
          <w:szCs w:val="21"/>
          <w:highlight w:val="none"/>
        </w:rPr>
        <w:t>4、如果我们成交，我们保证按评比文件的要求和评比供应商签订服务合同，并成立项目部，选派专业管理人员和服务人员实施服务合同。</w:t>
      </w:r>
    </w:p>
    <w:p>
      <w:pPr>
        <w:adjustRightInd w:val="0"/>
        <w:snapToGrid w:val="0"/>
        <w:spacing w:line="440" w:lineRule="exact"/>
        <w:ind w:firstLine="420" w:firstLineChars="200"/>
        <w:rPr>
          <w:color w:val="auto"/>
          <w:szCs w:val="21"/>
          <w:highlight w:val="none"/>
        </w:rPr>
      </w:pPr>
      <w:r>
        <w:rPr>
          <w:color w:val="auto"/>
          <w:szCs w:val="21"/>
          <w:highlight w:val="none"/>
        </w:rPr>
        <w:t>5、我们同意从评比之日起</w:t>
      </w:r>
      <w:r>
        <w:rPr>
          <w:color w:val="auto"/>
          <w:szCs w:val="21"/>
          <w:highlight w:val="none"/>
          <w:u w:val="single"/>
        </w:rPr>
        <w:t>90</w:t>
      </w:r>
      <w:r>
        <w:rPr>
          <w:color w:val="auto"/>
          <w:szCs w:val="21"/>
          <w:highlight w:val="none"/>
        </w:rPr>
        <w:t>天内遵守本评比文件，在此期限期满之前的任何时间，本评比文件一直对我们具有约束力。</w:t>
      </w:r>
    </w:p>
    <w:p>
      <w:pPr>
        <w:adjustRightInd w:val="0"/>
        <w:snapToGrid w:val="0"/>
        <w:spacing w:line="440" w:lineRule="exact"/>
        <w:ind w:firstLine="420" w:firstLineChars="200"/>
        <w:rPr>
          <w:color w:val="auto"/>
          <w:szCs w:val="21"/>
          <w:highlight w:val="none"/>
        </w:rPr>
      </w:pPr>
      <w:r>
        <w:rPr>
          <w:color w:val="auto"/>
          <w:szCs w:val="21"/>
          <w:highlight w:val="none"/>
        </w:rPr>
        <w:t>6、在制定和执行正式合同之前，本评比文件、评比响应文件连同你方书面的成交通知书，应构成我们双方之间有约束力的合同。</w:t>
      </w:r>
    </w:p>
    <w:p>
      <w:pPr>
        <w:adjustRightInd w:val="0"/>
        <w:snapToGrid w:val="0"/>
        <w:spacing w:line="440" w:lineRule="exact"/>
        <w:ind w:firstLine="420" w:firstLineChars="200"/>
        <w:rPr>
          <w:color w:val="auto"/>
          <w:szCs w:val="21"/>
          <w:highlight w:val="none"/>
        </w:rPr>
      </w:pPr>
      <w:r>
        <w:rPr>
          <w:color w:val="auto"/>
          <w:szCs w:val="21"/>
          <w:highlight w:val="none"/>
        </w:rPr>
        <w:t>7、我们理解你们并不一定接受最低标报价的评比或受到的任何评比响应文件的约束，同时也理解，你方不负担我们的任何评比费用。</w:t>
      </w:r>
    </w:p>
    <w:p>
      <w:pPr>
        <w:adjustRightInd w:val="0"/>
        <w:snapToGrid w:val="0"/>
        <w:spacing w:line="440" w:lineRule="exact"/>
        <w:rPr>
          <w:color w:val="auto"/>
          <w:szCs w:val="21"/>
          <w:highlight w:val="none"/>
        </w:rPr>
      </w:pPr>
    </w:p>
    <w:p>
      <w:pPr>
        <w:adjustRightInd w:val="0"/>
        <w:snapToGrid w:val="0"/>
        <w:spacing w:line="440" w:lineRule="exact"/>
        <w:rPr>
          <w:color w:val="auto"/>
          <w:szCs w:val="21"/>
          <w:highlight w:val="none"/>
          <w:u w:val="single"/>
        </w:rPr>
      </w:pPr>
      <w:r>
        <w:rPr>
          <w:color w:val="auto"/>
          <w:szCs w:val="21"/>
          <w:highlight w:val="none"/>
        </w:rPr>
        <w:t>评比供应商：</w:t>
      </w:r>
      <w:r>
        <w:rPr>
          <w:color w:val="auto"/>
          <w:szCs w:val="21"/>
          <w:highlight w:val="none"/>
          <w:u w:val="single"/>
        </w:rPr>
        <w:t xml:space="preserve">  （公章）</w:t>
      </w:r>
    </w:p>
    <w:p>
      <w:pPr>
        <w:adjustRightInd w:val="0"/>
        <w:snapToGrid w:val="0"/>
        <w:spacing w:line="440" w:lineRule="exact"/>
        <w:rPr>
          <w:color w:val="auto"/>
          <w:szCs w:val="21"/>
          <w:highlight w:val="none"/>
        </w:rPr>
      </w:pPr>
      <w:r>
        <w:rPr>
          <w:color w:val="auto"/>
          <w:szCs w:val="21"/>
          <w:highlight w:val="none"/>
        </w:rPr>
        <w:t>法定代表人（或法定代表人授权代表）或自然人（签署或盖章）：</w:t>
      </w:r>
    </w:p>
    <w:p>
      <w:pPr>
        <w:adjustRightInd w:val="0"/>
        <w:snapToGrid w:val="0"/>
        <w:spacing w:line="440" w:lineRule="exact"/>
        <w:rPr>
          <w:color w:val="auto"/>
          <w:szCs w:val="21"/>
          <w:highlight w:val="none"/>
        </w:rPr>
      </w:pPr>
      <w:r>
        <w:rPr>
          <w:color w:val="auto"/>
          <w:szCs w:val="21"/>
          <w:highlight w:val="none"/>
        </w:rPr>
        <w:t>地址：</w:t>
      </w:r>
    </w:p>
    <w:p>
      <w:pPr>
        <w:adjustRightInd w:val="0"/>
        <w:snapToGrid w:val="0"/>
        <w:spacing w:line="440" w:lineRule="exact"/>
        <w:rPr>
          <w:color w:val="auto"/>
          <w:szCs w:val="21"/>
          <w:highlight w:val="none"/>
        </w:rPr>
      </w:pPr>
      <w:r>
        <w:rPr>
          <w:color w:val="auto"/>
          <w:szCs w:val="21"/>
          <w:highlight w:val="none"/>
        </w:rPr>
        <w:t>电话：</w:t>
      </w:r>
    </w:p>
    <w:p>
      <w:pPr>
        <w:adjustRightInd w:val="0"/>
        <w:snapToGrid w:val="0"/>
        <w:spacing w:line="440" w:lineRule="exact"/>
        <w:rPr>
          <w:color w:val="auto"/>
          <w:szCs w:val="21"/>
          <w:highlight w:val="none"/>
        </w:rPr>
      </w:pPr>
      <w:r>
        <w:rPr>
          <w:color w:val="auto"/>
          <w:szCs w:val="21"/>
          <w:highlight w:val="none"/>
        </w:rPr>
        <w:t>传真：</w:t>
      </w:r>
    </w:p>
    <w:p>
      <w:pPr>
        <w:adjustRightInd w:val="0"/>
        <w:snapToGrid w:val="0"/>
        <w:spacing w:line="440" w:lineRule="exact"/>
        <w:rPr>
          <w:color w:val="auto"/>
          <w:szCs w:val="21"/>
          <w:highlight w:val="none"/>
        </w:rPr>
      </w:pPr>
      <w:r>
        <w:rPr>
          <w:color w:val="auto"/>
          <w:szCs w:val="21"/>
          <w:highlight w:val="none"/>
        </w:rPr>
        <w:t>日期：年 月 日</w:t>
      </w:r>
      <w:bookmarkStart w:id="67" w:name="_Toc68963481"/>
    </w:p>
    <w:p>
      <w:pPr>
        <w:adjustRightInd w:val="0"/>
        <w:snapToGrid w:val="0"/>
        <w:spacing w:line="440" w:lineRule="exact"/>
        <w:rPr>
          <w:color w:val="auto"/>
          <w:szCs w:val="21"/>
          <w:highlight w:val="none"/>
        </w:rPr>
      </w:pPr>
      <w:r>
        <w:rPr>
          <w:color w:val="auto"/>
          <w:szCs w:val="21"/>
          <w:highlight w:val="none"/>
        </w:rPr>
        <w:br w:type="page"/>
      </w:r>
    </w:p>
    <w:bookmarkEnd w:id="67"/>
    <w:p>
      <w:pPr>
        <w:pStyle w:val="3"/>
        <w:rPr>
          <w:rFonts w:ascii="Times New Roman" w:hAnsi="Times New Roman" w:eastAsia="宋体"/>
          <w:color w:val="auto"/>
          <w:sz w:val="32"/>
          <w:highlight w:val="none"/>
        </w:rPr>
      </w:pPr>
      <w:bookmarkStart w:id="68" w:name="_Toc10213455"/>
      <w:bookmarkStart w:id="69" w:name="_Toc68963488"/>
      <w:r>
        <w:rPr>
          <w:rFonts w:ascii="Times New Roman" w:hAnsi="Times New Roman" w:eastAsia="宋体"/>
          <w:color w:val="auto"/>
          <w:sz w:val="32"/>
          <w:highlight w:val="none"/>
        </w:rPr>
        <w:t>二、评比报价明细表</w:t>
      </w:r>
      <w:bookmarkEnd w:id="68"/>
    </w:p>
    <w:p>
      <w:pPr>
        <w:pStyle w:val="22"/>
        <w:spacing w:line="360" w:lineRule="auto"/>
        <w:rPr>
          <w:rFonts w:ascii="Times New Roman" w:hAnsi="Times New Roman"/>
          <w:b/>
          <w:bCs/>
          <w:color w:val="auto"/>
          <w:sz w:val="24"/>
          <w:szCs w:val="21"/>
          <w:highlight w:val="none"/>
        </w:rPr>
      </w:pPr>
    </w:p>
    <w:p>
      <w:pPr>
        <w:spacing w:line="560" w:lineRule="exact"/>
        <w:ind w:firstLine="420" w:firstLineChars="200"/>
        <w:rPr>
          <w:color w:val="auto"/>
          <w:szCs w:val="21"/>
          <w:highlight w:val="none"/>
        </w:rPr>
      </w:pPr>
      <w:r>
        <w:rPr>
          <w:color w:val="auto"/>
          <w:szCs w:val="21"/>
          <w:highlight w:val="none"/>
        </w:rPr>
        <w:t>项目名称：                                                   单位：元</w:t>
      </w:r>
    </w:p>
    <w:tbl>
      <w:tblPr>
        <w:tblStyle w:val="39"/>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934"/>
        <w:gridCol w:w="2474"/>
        <w:gridCol w:w="1242"/>
        <w:gridCol w:w="1242"/>
        <w:gridCol w:w="934"/>
        <w:gridCol w:w="934"/>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34" w:type="dxa"/>
            <w:vAlign w:val="center"/>
          </w:tcPr>
          <w:p>
            <w:pPr>
              <w:jc w:val="center"/>
              <w:rPr>
                <w:b/>
                <w:color w:val="auto"/>
                <w:szCs w:val="21"/>
                <w:highlight w:val="none"/>
              </w:rPr>
            </w:pPr>
            <w:r>
              <w:rPr>
                <w:b/>
                <w:color w:val="auto"/>
                <w:szCs w:val="21"/>
                <w:highlight w:val="none"/>
              </w:rPr>
              <w:t>序号</w:t>
            </w:r>
          </w:p>
        </w:tc>
        <w:tc>
          <w:tcPr>
            <w:tcW w:w="934" w:type="dxa"/>
            <w:vAlign w:val="center"/>
          </w:tcPr>
          <w:p>
            <w:pPr>
              <w:jc w:val="center"/>
              <w:rPr>
                <w:b/>
                <w:color w:val="auto"/>
                <w:szCs w:val="21"/>
                <w:highlight w:val="none"/>
              </w:rPr>
            </w:pPr>
            <w:r>
              <w:rPr>
                <w:b/>
                <w:color w:val="auto"/>
                <w:szCs w:val="21"/>
                <w:highlight w:val="none"/>
              </w:rPr>
              <w:t>名称</w:t>
            </w:r>
          </w:p>
        </w:tc>
        <w:tc>
          <w:tcPr>
            <w:tcW w:w="2474" w:type="dxa"/>
            <w:vAlign w:val="center"/>
          </w:tcPr>
          <w:p>
            <w:pPr>
              <w:jc w:val="center"/>
              <w:rPr>
                <w:b/>
                <w:color w:val="auto"/>
                <w:szCs w:val="21"/>
                <w:highlight w:val="none"/>
              </w:rPr>
            </w:pPr>
            <w:r>
              <w:rPr>
                <w:b/>
                <w:color w:val="auto"/>
                <w:szCs w:val="21"/>
                <w:highlight w:val="none"/>
              </w:rPr>
              <w:t>品牌、规格型号</w:t>
            </w:r>
          </w:p>
        </w:tc>
        <w:tc>
          <w:tcPr>
            <w:tcW w:w="1242" w:type="dxa"/>
            <w:vAlign w:val="center"/>
          </w:tcPr>
          <w:p>
            <w:pPr>
              <w:jc w:val="center"/>
              <w:rPr>
                <w:b/>
                <w:color w:val="auto"/>
                <w:szCs w:val="21"/>
                <w:highlight w:val="none"/>
              </w:rPr>
            </w:pPr>
            <w:r>
              <w:rPr>
                <w:b/>
                <w:color w:val="auto"/>
                <w:szCs w:val="21"/>
                <w:highlight w:val="none"/>
              </w:rPr>
              <w:t>制造商</w:t>
            </w:r>
          </w:p>
        </w:tc>
        <w:tc>
          <w:tcPr>
            <w:tcW w:w="1242" w:type="dxa"/>
            <w:vAlign w:val="center"/>
          </w:tcPr>
          <w:p>
            <w:pPr>
              <w:jc w:val="center"/>
              <w:rPr>
                <w:b/>
                <w:color w:val="auto"/>
                <w:szCs w:val="21"/>
                <w:highlight w:val="none"/>
              </w:rPr>
            </w:pPr>
            <w:r>
              <w:rPr>
                <w:b/>
                <w:color w:val="auto"/>
                <w:szCs w:val="21"/>
                <w:highlight w:val="none"/>
              </w:rPr>
              <w:t>原产地</w:t>
            </w:r>
          </w:p>
        </w:tc>
        <w:tc>
          <w:tcPr>
            <w:tcW w:w="934" w:type="dxa"/>
            <w:vAlign w:val="center"/>
          </w:tcPr>
          <w:p>
            <w:pPr>
              <w:jc w:val="center"/>
              <w:rPr>
                <w:b/>
                <w:color w:val="auto"/>
                <w:szCs w:val="21"/>
                <w:highlight w:val="none"/>
              </w:rPr>
            </w:pPr>
            <w:r>
              <w:rPr>
                <w:b/>
                <w:color w:val="auto"/>
                <w:szCs w:val="21"/>
                <w:highlight w:val="none"/>
              </w:rPr>
              <w:t>数量</w:t>
            </w:r>
          </w:p>
        </w:tc>
        <w:tc>
          <w:tcPr>
            <w:tcW w:w="934" w:type="dxa"/>
            <w:vAlign w:val="center"/>
          </w:tcPr>
          <w:p>
            <w:pPr>
              <w:jc w:val="center"/>
              <w:rPr>
                <w:b/>
                <w:color w:val="auto"/>
                <w:szCs w:val="21"/>
                <w:highlight w:val="none"/>
              </w:rPr>
            </w:pPr>
            <w:r>
              <w:rPr>
                <w:b/>
                <w:color w:val="auto"/>
                <w:szCs w:val="21"/>
                <w:highlight w:val="none"/>
              </w:rPr>
              <w:t>单价</w:t>
            </w:r>
          </w:p>
        </w:tc>
        <w:tc>
          <w:tcPr>
            <w:tcW w:w="934" w:type="dxa"/>
            <w:vAlign w:val="center"/>
          </w:tcPr>
          <w:p>
            <w:pPr>
              <w:jc w:val="center"/>
              <w:rPr>
                <w:b/>
                <w:color w:val="auto"/>
                <w:szCs w:val="21"/>
                <w:highlight w:val="none"/>
              </w:rPr>
            </w:pPr>
            <w:r>
              <w:rPr>
                <w:b/>
                <w:color w:val="auto"/>
                <w:szCs w:val="21"/>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34" w:type="dxa"/>
            <w:vAlign w:val="center"/>
          </w:tcPr>
          <w:p>
            <w:pPr>
              <w:jc w:val="center"/>
              <w:rPr>
                <w:color w:val="auto"/>
                <w:highlight w:val="none"/>
              </w:rPr>
            </w:pPr>
            <w:r>
              <w:rPr>
                <w:color w:val="auto"/>
                <w:highlight w:val="none"/>
              </w:rPr>
              <w:t>1</w:t>
            </w:r>
          </w:p>
        </w:tc>
        <w:tc>
          <w:tcPr>
            <w:tcW w:w="934" w:type="dxa"/>
            <w:vAlign w:val="center"/>
          </w:tcPr>
          <w:p>
            <w:pPr>
              <w:jc w:val="center"/>
              <w:rPr>
                <w:color w:val="auto"/>
                <w:szCs w:val="21"/>
                <w:highlight w:val="none"/>
              </w:rPr>
            </w:pPr>
          </w:p>
        </w:tc>
        <w:tc>
          <w:tcPr>
            <w:tcW w:w="2474" w:type="dxa"/>
            <w:vAlign w:val="center"/>
          </w:tcPr>
          <w:p>
            <w:pPr>
              <w:jc w:val="center"/>
              <w:rPr>
                <w:color w:val="auto"/>
                <w:szCs w:val="21"/>
                <w:highlight w:val="none"/>
              </w:rPr>
            </w:pPr>
          </w:p>
        </w:tc>
        <w:tc>
          <w:tcPr>
            <w:tcW w:w="1242" w:type="dxa"/>
            <w:vAlign w:val="center"/>
          </w:tcPr>
          <w:p>
            <w:pPr>
              <w:jc w:val="center"/>
              <w:rPr>
                <w:color w:val="auto"/>
                <w:szCs w:val="21"/>
                <w:highlight w:val="none"/>
              </w:rPr>
            </w:pPr>
          </w:p>
        </w:tc>
        <w:tc>
          <w:tcPr>
            <w:tcW w:w="1242" w:type="dxa"/>
            <w:vAlign w:val="center"/>
          </w:tcPr>
          <w:p>
            <w:pPr>
              <w:jc w:val="center"/>
              <w:rPr>
                <w:color w:val="auto"/>
                <w:szCs w:val="21"/>
                <w:highlight w:val="none"/>
              </w:rPr>
            </w:pPr>
          </w:p>
        </w:tc>
        <w:tc>
          <w:tcPr>
            <w:tcW w:w="934" w:type="dxa"/>
            <w:vAlign w:val="center"/>
          </w:tcPr>
          <w:p>
            <w:pPr>
              <w:jc w:val="center"/>
              <w:rPr>
                <w:color w:val="auto"/>
                <w:szCs w:val="21"/>
                <w:highlight w:val="none"/>
              </w:rPr>
            </w:pPr>
          </w:p>
        </w:tc>
        <w:tc>
          <w:tcPr>
            <w:tcW w:w="934" w:type="dxa"/>
            <w:vAlign w:val="center"/>
          </w:tcPr>
          <w:p>
            <w:pPr>
              <w:jc w:val="center"/>
              <w:rPr>
                <w:color w:val="auto"/>
                <w:szCs w:val="21"/>
                <w:highlight w:val="none"/>
              </w:rPr>
            </w:pPr>
          </w:p>
        </w:tc>
        <w:tc>
          <w:tcPr>
            <w:tcW w:w="934"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34" w:type="dxa"/>
            <w:vAlign w:val="center"/>
          </w:tcPr>
          <w:p>
            <w:pPr>
              <w:jc w:val="center"/>
              <w:rPr>
                <w:color w:val="auto"/>
                <w:highlight w:val="none"/>
              </w:rPr>
            </w:pPr>
            <w:r>
              <w:rPr>
                <w:color w:val="auto"/>
                <w:highlight w:val="none"/>
              </w:rPr>
              <w:t>2</w:t>
            </w:r>
          </w:p>
        </w:tc>
        <w:tc>
          <w:tcPr>
            <w:tcW w:w="934" w:type="dxa"/>
            <w:vAlign w:val="center"/>
          </w:tcPr>
          <w:p>
            <w:pPr>
              <w:jc w:val="center"/>
              <w:rPr>
                <w:color w:val="auto"/>
                <w:szCs w:val="21"/>
                <w:highlight w:val="none"/>
              </w:rPr>
            </w:pPr>
          </w:p>
        </w:tc>
        <w:tc>
          <w:tcPr>
            <w:tcW w:w="2474" w:type="dxa"/>
            <w:vAlign w:val="center"/>
          </w:tcPr>
          <w:p>
            <w:pPr>
              <w:jc w:val="center"/>
              <w:rPr>
                <w:color w:val="auto"/>
                <w:szCs w:val="21"/>
                <w:highlight w:val="none"/>
              </w:rPr>
            </w:pPr>
          </w:p>
        </w:tc>
        <w:tc>
          <w:tcPr>
            <w:tcW w:w="1242" w:type="dxa"/>
            <w:vAlign w:val="center"/>
          </w:tcPr>
          <w:p>
            <w:pPr>
              <w:jc w:val="center"/>
              <w:rPr>
                <w:color w:val="auto"/>
                <w:szCs w:val="21"/>
                <w:highlight w:val="none"/>
              </w:rPr>
            </w:pPr>
          </w:p>
        </w:tc>
        <w:tc>
          <w:tcPr>
            <w:tcW w:w="1242" w:type="dxa"/>
            <w:vAlign w:val="center"/>
          </w:tcPr>
          <w:p>
            <w:pPr>
              <w:jc w:val="center"/>
              <w:rPr>
                <w:color w:val="auto"/>
                <w:szCs w:val="21"/>
                <w:highlight w:val="none"/>
              </w:rPr>
            </w:pPr>
          </w:p>
        </w:tc>
        <w:tc>
          <w:tcPr>
            <w:tcW w:w="934" w:type="dxa"/>
            <w:vAlign w:val="center"/>
          </w:tcPr>
          <w:p>
            <w:pPr>
              <w:jc w:val="center"/>
              <w:rPr>
                <w:color w:val="auto"/>
                <w:szCs w:val="21"/>
                <w:highlight w:val="none"/>
              </w:rPr>
            </w:pPr>
          </w:p>
        </w:tc>
        <w:tc>
          <w:tcPr>
            <w:tcW w:w="934" w:type="dxa"/>
            <w:vAlign w:val="center"/>
          </w:tcPr>
          <w:p>
            <w:pPr>
              <w:jc w:val="center"/>
              <w:rPr>
                <w:color w:val="auto"/>
                <w:szCs w:val="21"/>
                <w:highlight w:val="none"/>
              </w:rPr>
            </w:pPr>
          </w:p>
        </w:tc>
        <w:tc>
          <w:tcPr>
            <w:tcW w:w="934"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34" w:type="dxa"/>
            <w:vAlign w:val="center"/>
          </w:tcPr>
          <w:p>
            <w:pPr>
              <w:jc w:val="center"/>
              <w:rPr>
                <w:color w:val="auto"/>
                <w:highlight w:val="none"/>
              </w:rPr>
            </w:pPr>
            <w:r>
              <w:rPr>
                <w:color w:val="auto"/>
                <w:highlight w:val="none"/>
              </w:rPr>
              <w:t>3</w:t>
            </w:r>
          </w:p>
        </w:tc>
        <w:tc>
          <w:tcPr>
            <w:tcW w:w="934" w:type="dxa"/>
            <w:vAlign w:val="center"/>
          </w:tcPr>
          <w:p>
            <w:pPr>
              <w:jc w:val="center"/>
              <w:rPr>
                <w:color w:val="auto"/>
                <w:szCs w:val="21"/>
                <w:highlight w:val="none"/>
              </w:rPr>
            </w:pPr>
          </w:p>
        </w:tc>
        <w:tc>
          <w:tcPr>
            <w:tcW w:w="2474" w:type="dxa"/>
            <w:vAlign w:val="center"/>
          </w:tcPr>
          <w:p>
            <w:pPr>
              <w:jc w:val="center"/>
              <w:rPr>
                <w:color w:val="auto"/>
                <w:szCs w:val="21"/>
                <w:highlight w:val="none"/>
              </w:rPr>
            </w:pPr>
          </w:p>
        </w:tc>
        <w:tc>
          <w:tcPr>
            <w:tcW w:w="1242" w:type="dxa"/>
            <w:vAlign w:val="center"/>
          </w:tcPr>
          <w:p>
            <w:pPr>
              <w:jc w:val="center"/>
              <w:rPr>
                <w:color w:val="auto"/>
                <w:szCs w:val="21"/>
                <w:highlight w:val="none"/>
              </w:rPr>
            </w:pPr>
          </w:p>
        </w:tc>
        <w:tc>
          <w:tcPr>
            <w:tcW w:w="1242" w:type="dxa"/>
            <w:vAlign w:val="center"/>
          </w:tcPr>
          <w:p>
            <w:pPr>
              <w:jc w:val="center"/>
              <w:rPr>
                <w:color w:val="auto"/>
                <w:szCs w:val="21"/>
                <w:highlight w:val="none"/>
              </w:rPr>
            </w:pPr>
          </w:p>
        </w:tc>
        <w:tc>
          <w:tcPr>
            <w:tcW w:w="934" w:type="dxa"/>
            <w:vAlign w:val="center"/>
          </w:tcPr>
          <w:p>
            <w:pPr>
              <w:jc w:val="center"/>
              <w:rPr>
                <w:color w:val="auto"/>
                <w:szCs w:val="21"/>
                <w:highlight w:val="none"/>
              </w:rPr>
            </w:pPr>
          </w:p>
        </w:tc>
        <w:tc>
          <w:tcPr>
            <w:tcW w:w="934" w:type="dxa"/>
            <w:vAlign w:val="center"/>
          </w:tcPr>
          <w:p>
            <w:pPr>
              <w:jc w:val="center"/>
              <w:rPr>
                <w:color w:val="auto"/>
                <w:szCs w:val="21"/>
                <w:highlight w:val="none"/>
              </w:rPr>
            </w:pPr>
          </w:p>
        </w:tc>
        <w:tc>
          <w:tcPr>
            <w:tcW w:w="934"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34" w:type="dxa"/>
            <w:vAlign w:val="center"/>
          </w:tcPr>
          <w:p>
            <w:pPr>
              <w:jc w:val="center"/>
              <w:rPr>
                <w:color w:val="auto"/>
                <w:highlight w:val="none"/>
              </w:rPr>
            </w:pPr>
            <w:r>
              <w:rPr>
                <w:color w:val="auto"/>
                <w:highlight w:val="none"/>
              </w:rPr>
              <w:t>4</w:t>
            </w:r>
          </w:p>
        </w:tc>
        <w:tc>
          <w:tcPr>
            <w:tcW w:w="934" w:type="dxa"/>
            <w:vAlign w:val="center"/>
          </w:tcPr>
          <w:p>
            <w:pPr>
              <w:jc w:val="center"/>
              <w:rPr>
                <w:color w:val="auto"/>
                <w:szCs w:val="21"/>
                <w:highlight w:val="none"/>
              </w:rPr>
            </w:pPr>
          </w:p>
        </w:tc>
        <w:tc>
          <w:tcPr>
            <w:tcW w:w="2474" w:type="dxa"/>
            <w:vAlign w:val="center"/>
          </w:tcPr>
          <w:p>
            <w:pPr>
              <w:jc w:val="center"/>
              <w:rPr>
                <w:color w:val="auto"/>
                <w:szCs w:val="21"/>
                <w:highlight w:val="none"/>
              </w:rPr>
            </w:pPr>
          </w:p>
        </w:tc>
        <w:tc>
          <w:tcPr>
            <w:tcW w:w="1242" w:type="dxa"/>
            <w:vAlign w:val="center"/>
          </w:tcPr>
          <w:p>
            <w:pPr>
              <w:jc w:val="center"/>
              <w:rPr>
                <w:color w:val="auto"/>
                <w:szCs w:val="21"/>
                <w:highlight w:val="none"/>
              </w:rPr>
            </w:pPr>
          </w:p>
        </w:tc>
        <w:tc>
          <w:tcPr>
            <w:tcW w:w="1242" w:type="dxa"/>
            <w:vAlign w:val="center"/>
          </w:tcPr>
          <w:p>
            <w:pPr>
              <w:jc w:val="center"/>
              <w:rPr>
                <w:color w:val="auto"/>
                <w:szCs w:val="21"/>
                <w:highlight w:val="none"/>
              </w:rPr>
            </w:pPr>
          </w:p>
        </w:tc>
        <w:tc>
          <w:tcPr>
            <w:tcW w:w="934" w:type="dxa"/>
            <w:vAlign w:val="center"/>
          </w:tcPr>
          <w:p>
            <w:pPr>
              <w:jc w:val="center"/>
              <w:rPr>
                <w:color w:val="auto"/>
                <w:szCs w:val="21"/>
                <w:highlight w:val="none"/>
              </w:rPr>
            </w:pPr>
          </w:p>
        </w:tc>
        <w:tc>
          <w:tcPr>
            <w:tcW w:w="934" w:type="dxa"/>
            <w:vAlign w:val="center"/>
          </w:tcPr>
          <w:p>
            <w:pPr>
              <w:jc w:val="center"/>
              <w:rPr>
                <w:color w:val="auto"/>
                <w:szCs w:val="21"/>
                <w:highlight w:val="none"/>
              </w:rPr>
            </w:pPr>
          </w:p>
        </w:tc>
        <w:tc>
          <w:tcPr>
            <w:tcW w:w="934"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34" w:type="dxa"/>
            <w:vAlign w:val="center"/>
          </w:tcPr>
          <w:p>
            <w:pPr>
              <w:jc w:val="center"/>
              <w:rPr>
                <w:color w:val="auto"/>
                <w:highlight w:val="none"/>
              </w:rPr>
            </w:pPr>
            <w:r>
              <w:rPr>
                <w:color w:val="auto"/>
                <w:highlight w:val="none"/>
              </w:rPr>
              <w:t>5</w:t>
            </w:r>
          </w:p>
        </w:tc>
        <w:tc>
          <w:tcPr>
            <w:tcW w:w="934" w:type="dxa"/>
            <w:vAlign w:val="center"/>
          </w:tcPr>
          <w:p>
            <w:pPr>
              <w:jc w:val="center"/>
              <w:rPr>
                <w:color w:val="auto"/>
                <w:szCs w:val="21"/>
                <w:highlight w:val="none"/>
              </w:rPr>
            </w:pPr>
          </w:p>
        </w:tc>
        <w:tc>
          <w:tcPr>
            <w:tcW w:w="2474" w:type="dxa"/>
            <w:vAlign w:val="center"/>
          </w:tcPr>
          <w:p>
            <w:pPr>
              <w:jc w:val="center"/>
              <w:rPr>
                <w:color w:val="auto"/>
                <w:szCs w:val="21"/>
                <w:highlight w:val="none"/>
              </w:rPr>
            </w:pPr>
          </w:p>
        </w:tc>
        <w:tc>
          <w:tcPr>
            <w:tcW w:w="1242" w:type="dxa"/>
            <w:vAlign w:val="center"/>
          </w:tcPr>
          <w:p>
            <w:pPr>
              <w:jc w:val="center"/>
              <w:rPr>
                <w:color w:val="auto"/>
                <w:szCs w:val="21"/>
                <w:highlight w:val="none"/>
              </w:rPr>
            </w:pPr>
          </w:p>
        </w:tc>
        <w:tc>
          <w:tcPr>
            <w:tcW w:w="1242" w:type="dxa"/>
            <w:vAlign w:val="center"/>
          </w:tcPr>
          <w:p>
            <w:pPr>
              <w:jc w:val="center"/>
              <w:rPr>
                <w:color w:val="auto"/>
                <w:szCs w:val="21"/>
                <w:highlight w:val="none"/>
              </w:rPr>
            </w:pPr>
          </w:p>
        </w:tc>
        <w:tc>
          <w:tcPr>
            <w:tcW w:w="934" w:type="dxa"/>
            <w:vAlign w:val="center"/>
          </w:tcPr>
          <w:p>
            <w:pPr>
              <w:jc w:val="center"/>
              <w:rPr>
                <w:color w:val="auto"/>
                <w:szCs w:val="21"/>
                <w:highlight w:val="none"/>
              </w:rPr>
            </w:pPr>
          </w:p>
        </w:tc>
        <w:tc>
          <w:tcPr>
            <w:tcW w:w="934" w:type="dxa"/>
            <w:vAlign w:val="center"/>
          </w:tcPr>
          <w:p>
            <w:pPr>
              <w:jc w:val="center"/>
              <w:rPr>
                <w:color w:val="auto"/>
                <w:szCs w:val="21"/>
                <w:highlight w:val="none"/>
              </w:rPr>
            </w:pPr>
          </w:p>
        </w:tc>
        <w:tc>
          <w:tcPr>
            <w:tcW w:w="934"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34" w:type="dxa"/>
            <w:vAlign w:val="center"/>
          </w:tcPr>
          <w:p>
            <w:pPr>
              <w:jc w:val="center"/>
              <w:rPr>
                <w:color w:val="auto"/>
                <w:highlight w:val="none"/>
              </w:rPr>
            </w:pPr>
            <w:r>
              <w:rPr>
                <w:color w:val="auto"/>
                <w:highlight w:val="none"/>
              </w:rPr>
              <w:t>6</w:t>
            </w:r>
          </w:p>
        </w:tc>
        <w:tc>
          <w:tcPr>
            <w:tcW w:w="934" w:type="dxa"/>
            <w:vAlign w:val="center"/>
          </w:tcPr>
          <w:p>
            <w:pPr>
              <w:jc w:val="center"/>
              <w:rPr>
                <w:color w:val="auto"/>
                <w:szCs w:val="21"/>
                <w:highlight w:val="none"/>
              </w:rPr>
            </w:pPr>
          </w:p>
        </w:tc>
        <w:tc>
          <w:tcPr>
            <w:tcW w:w="2474" w:type="dxa"/>
            <w:vAlign w:val="center"/>
          </w:tcPr>
          <w:p>
            <w:pPr>
              <w:jc w:val="center"/>
              <w:rPr>
                <w:color w:val="auto"/>
                <w:szCs w:val="21"/>
                <w:highlight w:val="none"/>
              </w:rPr>
            </w:pPr>
          </w:p>
        </w:tc>
        <w:tc>
          <w:tcPr>
            <w:tcW w:w="1242" w:type="dxa"/>
            <w:vAlign w:val="center"/>
          </w:tcPr>
          <w:p>
            <w:pPr>
              <w:jc w:val="center"/>
              <w:rPr>
                <w:color w:val="auto"/>
                <w:szCs w:val="21"/>
                <w:highlight w:val="none"/>
              </w:rPr>
            </w:pPr>
          </w:p>
        </w:tc>
        <w:tc>
          <w:tcPr>
            <w:tcW w:w="1242" w:type="dxa"/>
            <w:vAlign w:val="center"/>
          </w:tcPr>
          <w:p>
            <w:pPr>
              <w:jc w:val="center"/>
              <w:rPr>
                <w:color w:val="auto"/>
                <w:szCs w:val="21"/>
                <w:highlight w:val="none"/>
              </w:rPr>
            </w:pPr>
          </w:p>
        </w:tc>
        <w:tc>
          <w:tcPr>
            <w:tcW w:w="934" w:type="dxa"/>
            <w:vAlign w:val="center"/>
          </w:tcPr>
          <w:p>
            <w:pPr>
              <w:jc w:val="center"/>
              <w:rPr>
                <w:color w:val="auto"/>
                <w:szCs w:val="21"/>
                <w:highlight w:val="none"/>
              </w:rPr>
            </w:pPr>
          </w:p>
        </w:tc>
        <w:tc>
          <w:tcPr>
            <w:tcW w:w="934" w:type="dxa"/>
            <w:vAlign w:val="center"/>
          </w:tcPr>
          <w:p>
            <w:pPr>
              <w:jc w:val="center"/>
              <w:rPr>
                <w:color w:val="auto"/>
                <w:szCs w:val="21"/>
                <w:highlight w:val="none"/>
              </w:rPr>
            </w:pPr>
          </w:p>
        </w:tc>
        <w:tc>
          <w:tcPr>
            <w:tcW w:w="934"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34" w:type="dxa"/>
            <w:vAlign w:val="center"/>
          </w:tcPr>
          <w:p>
            <w:pPr>
              <w:jc w:val="center"/>
              <w:rPr>
                <w:color w:val="auto"/>
                <w:highlight w:val="none"/>
              </w:rPr>
            </w:pPr>
            <w:r>
              <w:rPr>
                <w:color w:val="auto"/>
                <w:highlight w:val="none"/>
              </w:rPr>
              <w:t>7</w:t>
            </w:r>
          </w:p>
        </w:tc>
        <w:tc>
          <w:tcPr>
            <w:tcW w:w="934" w:type="dxa"/>
            <w:vAlign w:val="center"/>
          </w:tcPr>
          <w:p>
            <w:pPr>
              <w:jc w:val="center"/>
              <w:rPr>
                <w:color w:val="auto"/>
                <w:szCs w:val="21"/>
                <w:highlight w:val="none"/>
              </w:rPr>
            </w:pPr>
          </w:p>
        </w:tc>
        <w:tc>
          <w:tcPr>
            <w:tcW w:w="2474" w:type="dxa"/>
            <w:vAlign w:val="center"/>
          </w:tcPr>
          <w:p>
            <w:pPr>
              <w:jc w:val="center"/>
              <w:rPr>
                <w:color w:val="auto"/>
                <w:szCs w:val="21"/>
                <w:highlight w:val="none"/>
              </w:rPr>
            </w:pPr>
          </w:p>
        </w:tc>
        <w:tc>
          <w:tcPr>
            <w:tcW w:w="1242" w:type="dxa"/>
            <w:vAlign w:val="center"/>
          </w:tcPr>
          <w:p>
            <w:pPr>
              <w:jc w:val="center"/>
              <w:rPr>
                <w:color w:val="auto"/>
                <w:szCs w:val="21"/>
                <w:highlight w:val="none"/>
              </w:rPr>
            </w:pPr>
          </w:p>
        </w:tc>
        <w:tc>
          <w:tcPr>
            <w:tcW w:w="1242" w:type="dxa"/>
            <w:vAlign w:val="center"/>
          </w:tcPr>
          <w:p>
            <w:pPr>
              <w:jc w:val="center"/>
              <w:rPr>
                <w:color w:val="auto"/>
                <w:szCs w:val="21"/>
                <w:highlight w:val="none"/>
              </w:rPr>
            </w:pPr>
          </w:p>
        </w:tc>
        <w:tc>
          <w:tcPr>
            <w:tcW w:w="934" w:type="dxa"/>
            <w:vAlign w:val="center"/>
          </w:tcPr>
          <w:p>
            <w:pPr>
              <w:jc w:val="center"/>
              <w:rPr>
                <w:color w:val="auto"/>
                <w:szCs w:val="21"/>
                <w:highlight w:val="none"/>
              </w:rPr>
            </w:pPr>
          </w:p>
        </w:tc>
        <w:tc>
          <w:tcPr>
            <w:tcW w:w="934" w:type="dxa"/>
            <w:vAlign w:val="center"/>
          </w:tcPr>
          <w:p>
            <w:pPr>
              <w:jc w:val="center"/>
              <w:rPr>
                <w:color w:val="auto"/>
                <w:szCs w:val="21"/>
                <w:highlight w:val="none"/>
              </w:rPr>
            </w:pPr>
          </w:p>
        </w:tc>
        <w:tc>
          <w:tcPr>
            <w:tcW w:w="934"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34" w:type="dxa"/>
            <w:vAlign w:val="center"/>
          </w:tcPr>
          <w:p>
            <w:pPr>
              <w:jc w:val="center"/>
              <w:rPr>
                <w:color w:val="auto"/>
                <w:highlight w:val="none"/>
              </w:rPr>
            </w:pPr>
            <w:r>
              <w:rPr>
                <w:color w:val="auto"/>
                <w:highlight w:val="none"/>
              </w:rPr>
              <w:t>8</w:t>
            </w:r>
          </w:p>
        </w:tc>
        <w:tc>
          <w:tcPr>
            <w:tcW w:w="934" w:type="dxa"/>
            <w:vAlign w:val="center"/>
          </w:tcPr>
          <w:p>
            <w:pPr>
              <w:jc w:val="center"/>
              <w:rPr>
                <w:color w:val="auto"/>
                <w:szCs w:val="21"/>
                <w:highlight w:val="none"/>
              </w:rPr>
            </w:pPr>
          </w:p>
        </w:tc>
        <w:tc>
          <w:tcPr>
            <w:tcW w:w="2474" w:type="dxa"/>
            <w:vAlign w:val="center"/>
          </w:tcPr>
          <w:p>
            <w:pPr>
              <w:jc w:val="center"/>
              <w:rPr>
                <w:color w:val="auto"/>
                <w:szCs w:val="21"/>
                <w:highlight w:val="none"/>
              </w:rPr>
            </w:pPr>
          </w:p>
        </w:tc>
        <w:tc>
          <w:tcPr>
            <w:tcW w:w="1242" w:type="dxa"/>
            <w:vAlign w:val="center"/>
          </w:tcPr>
          <w:p>
            <w:pPr>
              <w:jc w:val="center"/>
              <w:rPr>
                <w:color w:val="auto"/>
                <w:szCs w:val="21"/>
                <w:highlight w:val="none"/>
              </w:rPr>
            </w:pPr>
          </w:p>
        </w:tc>
        <w:tc>
          <w:tcPr>
            <w:tcW w:w="1242" w:type="dxa"/>
            <w:vAlign w:val="center"/>
          </w:tcPr>
          <w:p>
            <w:pPr>
              <w:jc w:val="center"/>
              <w:rPr>
                <w:color w:val="auto"/>
                <w:szCs w:val="21"/>
                <w:highlight w:val="none"/>
              </w:rPr>
            </w:pPr>
          </w:p>
        </w:tc>
        <w:tc>
          <w:tcPr>
            <w:tcW w:w="934" w:type="dxa"/>
            <w:vAlign w:val="center"/>
          </w:tcPr>
          <w:p>
            <w:pPr>
              <w:jc w:val="center"/>
              <w:rPr>
                <w:color w:val="auto"/>
                <w:szCs w:val="21"/>
                <w:highlight w:val="none"/>
              </w:rPr>
            </w:pPr>
            <w:r>
              <w:rPr>
                <w:color w:val="auto"/>
                <w:szCs w:val="21"/>
                <w:highlight w:val="none"/>
              </w:rPr>
              <w:t>/</w:t>
            </w:r>
          </w:p>
        </w:tc>
        <w:tc>
          <w:tcPr>
            <w:tcW w:w="934" w:type="dxa"/>
            <w:vAlign w:val="center"/>
          </w:tcPr>
          <w:p>
            <w:pPr>
              <w:jc w:val="center"/>
              <w:rPr>
                <w:color w:val="auto"/>
                <w:szCs w:val="21"/>
                <w:highlight w:val="none"/>
              </w:rPr>
            </w:pPr>
          </w:p>
        </w:tc>
        <w:tc>
          <w:tcPr>
            <w:tcW w:w="934"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34" w:type="dxa"/>
            <w:vAlign w:val="center"/>
          </w:tcPr>
          <w:p>
            <w:pPr>
              <w:jc w:val="center"/>
              <w:rPr>
                <w:color w:val="auto"/>
                <w:highlight w:val="none"/>
              </w:rPr>
            </w:pPr>
            <w:r>
              <w:rPr>
                <w:color w:val="auto"/>
                <w:highlight w:val="none"/>
              </w:rPr>
              <w:t>9</w:t>
            </w:r>
          </w:p>
        </w:tc>
        <w:tc>
          <w:tcPr>
            <w:tcW w:w="934" w:type="dxa"/>
            <w:vAlign w:val="center"/>
          </w:tcPr>
          <w:p>
            <w:pPr>
              <w:jc w:val="center"/>
              <w:rPr>
                <w:color w:val="auto"/>
                <w:szCs w:val="21"/>
                <w:highlight w:val="none"/>
              </w:rPr>
            </w:pPr>
          </w:p>
        </w:tc>
        <w:tc>
          <w:tcPr>
            <w:tcW w:w="2474" w:type="dxa"/>
            <w:vAlign w:val="center"/>
          </w:tcPr>
          <w:p>
            <w:pPr>
              <w:jc w:val="center"/>
              <w:rPr>
                <w:color w:val="auto"/>
                <w:szCs w:val="21"/>
                <w:highlight w:val="none"/>
              </w:rPr>
            </w:pPr>
          </w:p>
        </w:tc>
        <w:tc>
          <w:tcPr>
            <w:tcW w:w="1242" w:type="dxa"/>
            <w:vAlign w:val="center"/>
          </w:tcPr>
          <w:p>
            <w:pPr>
              <w:jc w:val="center"/>
              <w:rPr>
                <w:color w:val="auto"/>
                <w:szCs w:val="21"/>
                <w:highlight w:val="none"/>
              </w:rPr>
            </w:pPr>
          </w:p>
        </w:tc>
        <w:tc>
          <w:tcPr>
            <w:tcW w:w="1242" w:type="dxa"/>
          </w:tcPr>
          <w:p>
            <w:pPr>
              <w:jc w:val="center"/>
              <w:rPr>
                <w:color w:val="auto"/>
                <w:szCs w:val="21"/>
                <w:highlight w:val="none"/>
              </w:rPr>
            </w:pPr>
          </w:p>
        </w:tc>
        <w:tc>
          <w:tcPr>
            <w:tcW w:w="934" w:type="dxa"/>
            <w:vAlign w:val="center"/>
          </w:tcPr>
          <w:p>
            <w:pPr>
              <w:jc w:val="center"/>
              <w:rPr>
                <w:color w:val="auto"/>
                <w:szCs w:val="21"/>
                <w:highlight w:val="none"/>
              </w:rPr>
            </w:pPr>
            <w:r>
              <w:rPr>
                <w:color w:val="auto"/>
                <w:szCs w:val="21"/>
                <w:highlight w:val="none"/>
              </w:rPr>
              <w:t>/</w:t>
            </w:r>
          </w:p>
        </w:tc>
        <w:tc>
          <w:tcPr>
            <w:tcW w:w="934" w:type="dxa"/>
            <w:vAlign w:val="center"/>
          </w:tcPr>
          <w:p>
            <w:pPr>
              <w:jc w:val="center"/>
              <w:rPr>
                <w:color w:val="auto"/>
                <w:szCs w:val="21"/>
                <w:highlight w:val="none"/>
              </w:rPr>
            </w:pPr>
          </w:p>
        </w:tc>
        <w:tc>
          <w:tcPr>
            <w:tcW w:w="934"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34" w:type="dxa"/>
            <w:vAlign w:val="center"/>
          </w:tcPr>
          <w:p>
            <w:pPr>
              <w:jc w:val="center"/>
              <w:rPr>
                <w:color w:val="auto"/>
                <w:highlight w:val="none"/>
              </w:rPr>
            </w:pPr>
            <w:r>
              <w:rPr>
                <w:color w:val="auto"/>
                <w:highlight w:val="none"/>
              </w:rPr>
              <w:t>10</w:t>
            </w:r>
          </w:p>
        </w:tc>
        <w:tc>
          <w:tcPr>
            <w:tcW w:w="934" w:type="dxa"/>
            <w:vAlign w:val="center"/>
          </w:tcPr>
          <w:p>
            <w:pPr>
              <w:jc w:val="center"/>
              <w:rPr>
                <w:color w:val="auto"/>
                <w:szCs w:val="21"/>
                <w:highlight w:val="none"/>
              </w:rPr>
            </w:pPr>
          </w:p>
        </w:tc>
        <w:tc>
          <w:tcPr>
            <w:tcW w:w="2474" w:type="dxa"/>
            <w:vAlign w:val="center"/>
          </w:tcPr>
          <w:p>
            <w:pPr>
              <w:jc w:val="center"/>
              <w:rPr>
                <w:color w:val="auto"/>
                <w:szCs w:val="21"/>
                <w:highlight w:val="none"/>
              </w:rPr>
            </w:pPr>
          </w:p>
        </w:tc>
        <w:tc>
          <w:tcPr>
            <w:tcW w:w="1242" w:type="dxa"/>
            <w:vAlign w:val="center"/>
          </w:tcPr>
          <w:p>
            <w:pPr>
              <w:jc w:val="center"/>
              <w:rPr>
                <w:color w:val="auto"/>
                <w:szCs w:val="21"/>
                <w:highlight w:val="none"/>
              </w:rPr>
            </w:pPr>
          </w:p>
        </w:tc>
        <w:tc>
          <w:tcPr>
            <w:tcW w:w="1242" w:type="dxa"/>
            <w:vAlign w:val="center"/>
          </w:tcPr>
          <w:p>
            <w:pPr>
              <w:jc w:val="center"/>
              <w:rPr>
                <w:color w:val="auto"/>
                <w:szCs w:val="21"/>
                <w:highlight w:val="none"/>
              </w:rPr>
            </w:pPr>
          </w:p>
        </w:tc>
        <w:tc>
          <w:tcPr>
            <w:tcW w:w="934" w:type="dxa"/>
            <w:vAlign w:val="center"/>
          </w:tcPr>
          <w:p>
            <w:pPr>
              <w:jc w:val="center"/>
              <w:rPr>
                <w:color w:val="auto"/>
                <w:szCs w:val="21"/>
                <w:highlight w:val="none"/>
              </w:rPr>
            </w:pPr>
            <w:r>
              <w:rPr>
                <w:color w:val="auto"/>
                <w:szCs w:val="21"/>
                <w:highlight w:val="none"/>
              </w:rPr>
              <w:t>/</w:t>
            </w:r>
          </w:p>
        </w:tc>
        <w:tc>
          <w:tcPr>
            <w:tcW w:w="934" w:type="dxa"/>
            <w:vAlign w:val="center"/>
          </w:tcPr>
          <w:p>
            <w:pPr>
              <w:jc w:val="center"/>
              <w:rPr>
                <w:color w:val="auto"/>
                <w:szCs w:val="21"/>
                <w:highlight w:val="none"/>
              </w:rPr>
            </w:pPr>
          </w:p>
        </w:tc>
        <w:tc>
          <w:tcPr>
            <w:tcW w:w="934"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34" w:type="dxa"/>
            <w:vAlign w:val="center"/>
          </w:tcPr>
          <w:p>
            <w:pPr>
              <w:jc w:val="center"/>
              <w:rPr>
                <w:color w:val="auto"/>
                <w:highlight w:val="none"/>
              </w:rPr>
            </w:pPr>
            <w:r>
              <w:rPr>
                <w:color w:val="auto"/>
                <w:highlight w:val="none"/>
              </w:rPr>
              <w:t>11</w:t>
            </w:r>
          </w:p>
        </w:tc>
        <w:tc>
          <w:tcPr>
            <w:tcW w:w="934" w:type="dxa"/>
            <w:vAlign w:val="center"/>
          </w:tcPr>
          <w:p>
            <w:pPr>
              <w:jc w:val="center"/>
              <w:rPr>
                <w:color w:val="auto"/>
                <w:szCs w:val="21"/>
                <w:highlight w:val="none"/>
              </w:rPr>
            </w:pPr>
            <w:r>
              <w:rPr>
                <w:color w:val="auto"/>
                <w:szCs w:val="21"/>
                <w:highlight w:val="none"/>
              </w:rPr>
              <w:t>……</w:t>
            </w:r>
          </w:p>
        </w:tc>
        <w:tc>
          <w:tcPr>
            <w:tcW w:w="2474" w:type="dxa"/>
            <w:vAlign w:val="center"/>
          </w:tcPr>
          <w:p>
            <w:pPr>
              <w:jc w:val="center"/>
              <w:rPr>
                <w:color w:val="auto"/>
                <w:szCs w:val="21"/>
                <w:highlight w:val="none"/>
              </w:rPr>
            </w:pPr>
          </w:p>
        </w:tc>
        <w:tc>
          <w:tcPr>
            <w:tcW w:w="1242" w:type="dxa"/>
            <w:vAlign w:val="center"/>
          </w:tcPr>
          <w:p>
            <w:pPr>
              <w:jc w:val="center"/>
              <w:rPr>
                <w:color w:val="auto"/>
                <w:szCs w:val="21"/>
                <w:highlight w:val="none"/>
              </w:rPr>
            </w:pPr>
          </w:p>
        </w:tc>
        <w:tc>
          <w:tcPr>
            <w:tcW w:w="1242" w:type="dxa"/>
            <w:vAlign w:val="center"/>
          </w:tcPr>
          <w:p>
            <w:pPr>
              <w:jc w:val="center"/>
              <w:rPr>
                <w:color w:val="auto"/>
                <w:szCs w:val="21"/>
                <w:highlight w:val="none"/>
              </w:rPr>
            </w:pPr>
          </w:p>
        </w:tc>
        <w:tc>
          <w:tcPr>
            <w:tcW w:w="934" w:type="dxa"/>
            <w:vAlign w:val="center"/>
          </w:tcPr>
          <w:p>
            <w:pPr>
              <w:jc w:val="center"/>
              <w:rPr>
                <w:color w:val="auto"/>
                <w:szCs w:val="21"/>
                <w:highlight w:val="none"/>
              </w:rPr>
            </w:pPr>
            <w:r>
              <w:rPr>
                <w:color w:val="auto"/>
                <w:szCs w:val="21"/>
                <w:highlight w:val="none"/>
              </w:rPr>
              <w:t>/</w:t>
            </w:r>
          </w:p>
        </w:tc>
        <w:tc>
          <w:tcPr>
            <w:tcW w:w="934" w:type="dxa"/>
            <w:vAlign w:val="center"/>
          </w:tcPr>
          <w:p>
            <w:pPr>
              <w:jc w:val="center"/>
              <w:rPr>
                <w:color w:val="auto"/>
                <w:szCs w:val="21"/>
                <w:highlight w:val="none"/>
              </w:rPr>
            </w:pPr>
          </w:p>
        </w:tc>
        <w:tc>
          <w:tcPr>
            <w:tcW w:w="934"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34" w:type="dxa"/>
            <w:vAlign w:val="center"/>
          </w:tcPr>
          <w:p>
            <w:pPr>
              <w:jc w:val="center"/>
              <w:rPr>
                <w:color w:val="auto"/>
                <w:highlight w:val="none"/>
              </w:rPr>
            </w:pPr>
            <w:r>
              <w:rPr>
                <w:color w:val="auto"/>
                <w:highlight w:val="none"/>
              </w:rPr>
              <w:t>12</w:t>
            </w:r>
          </w:p>
        </w:tc>
        <w:tc>
          <w:tcPr>
            <w:tcW w:w="934" w:type="dxa"/>
            <w:vAlign w:val="center"/>
          </w:tcPr>
          <w:p>
            <w:pPr>
              <w:jc w:val="center"/>
              <w:rPr>
                <w:color w:val="auto"/>
                <w:szCs w:val="21"/>
                <w:highlight w:val="none"/>
              </w:rPr>
            </w:pPr>
            <w:r>
              <w:rPr>
                <w:color w:val="auto"/>
                <w:szCs w:val="21"/>
                <w:highlight w:val="none"/>
              </w:rPr>
              <w:t>总计</w:t>
            </w:r>
          </w:p>
        </w:tc>
        <w:tc>
          <w:tcPr>
            <w:tcW w:w="7760" w:type="dxa"/>
            <w:gridSpan w:val="6"/>
            <w:vAlign w:val="center"/>
          </w:tcPr>
          <w:p>
            <w:pPr>
              <w:rPr>
                <w:color w:val="auto"/>
                <w:szCs w:val="21"/>
                <w:highlight w:val="none"/>
              </w:rPr>
            </w:pPr>
          </w:p>
        </w:tc>
      </w:tr>
    </w:tbl>
    <w:p>
      <w:pPr>
        <w:pStyle w:val="22"/>
        <w:spacing w:line="440" w:lineRule="exact"/>
        <w:rPr>
          <w:rFonts w:ascii="Times New Roman" w:hAnsi="Times New Roman"/>
          <w:color w:val="auto"/>
          <w:sz w:val="21"/>
          <w:szCs w:val="21"/>
          <w:highlight w:val="none"/>
        </w:rPr>
      </w:pPr>
    </w:p>
    <w:p>
      <w:pPr>
        <w:adjustRightInd w:val="0"/>
        <w:snapToGrid w:val="0"/>
        <w:spacing w:line="440" w:lineRule="exact"/>
        <w:rPr>
          <w:color w:val="auto"/>
          <w:szCs w:val="21"/>
          <w:highlight w:val="none"/>
        </w:rPr>
      </w:pPr>
      <w:r>
        <w:rPr>
          <w:color w:val="auto"/>
          <w:szCs w:val="21"/>
          <w:highlight w:val="none"/>
        </w:rPr>
        <w:t>法定代表人（或法定代表人授权代表）或自然人（签署或盖章）：</w:t>
      </w:r>
    </w:p>
    <w:p>
      <w:pPr>
        <w:adjustRightInd w:val="0"/>
        <w:snapToGrid w:val="0"/>
        <w:spacing w:line="440" w:lineRule="exact"/>
        <w:rPr>
          <w:color w:val="auto"/>
          <w:szCs w:val="21"/>
          <w:highlight w:val="none"/>
        </w:rPr>
      </w:pPr>
      <w:r>
        <w:rPr>
          <w:color w:val="auto"/>
          <w:szCs w:val="21"/>
          <w:highlight w:val="none"/>
        </w:rPr>
        <w:t>地址：</w:t>
      </w:r>
    </w:p>
    <w:p>
      <w:pPr>
        <w:adjustRightInd w:val="0"/>
        <w:snapToGrid w:val="0"/>
        <w:spacing w:line="440" w:lineRule="exact"/>
        <w:rPr>
          <w:color w:val="auto"/>
          <w:szCs w:val="21"/>
          <w:highlight w:val="none"/>
        </w:rPr>
      </w:pPr>
      <w:r>
        <w:rPr>
          <w:color w:val="auto"/>
          <w:szCs w:val="21"/>
          <w:highlight w:val="none"/>
        </w:rPr>
        <w:t>电话：</w:t>
      </w:r>
    </w:p>
    <w:p>
      <w:pPr>
        <w:adjustRightInd w:val="0"/>
        <w:snapToGrid w:val="0"/>
        <w:spacing w:line="440" w:lineRule="exact"/>
        <w:rPr>
          <w:color w:val="auto"/>
          <w:szCs w:val="21"/>
          <w:highlight w:val="none"/>
        </w:rPr>
      </w:pPr>
      <w:r>
        <w:rPr>
          <w:color w:val="auto"/>
          <w:szCs w:val="21"/>
          <w:highlight w:val="none"/>
        </w:rPr>
        <w:t xml:space="preserve">传真：                                                                                                                                                                                                                                                                                                                                                                                                                                                                                                                                                                                                                                                                                                                                                                                                                                                                                                                                                                                                                                                                                                                                                                                                                                                                                                                                                                                                                                                                                                                                                                                                                                                                                                                                                                                                                                                                                                                                                                                                                                                                </w:t>
      </w:r>
    </w:p>
    <w:p>
      <w:pPr>
        <w:adjustRightInd w:val="0"/>
        <w:snapToGrid w:val="0"/>
        <w:spacing w:line="440" w:lineRule="exact"/>
        <w:rPr>
          <w:color w:val="auto"/>
          <w:szCs w:val="21"/>
          <w:highlight w:val="none"/>
        </w:rPr>
      </w:pPr>
      <w:r>
        <w:rPr>
          <w:color w:val="auto"/>
          <w:szCs w:val="21"/>
          <w:highlight w:val="none"/>
        </w:rPr>
        <w:t>日期： 年  月  日</w:t>
      </w:r>
    </w:p>
    <w:p>
      <w:pPr>
        <w:adjustRightInd w:val="0"/>
        <w:snapToGrid w:val="0"/>
        <w:spacing w:line="440" w:lineRule="exact"/>
        <w:rPr>
          <w:color w:val="auto"/>
          <w:szCs w:val="21"/>
          <w:highlight w:val="none"/>
        </w:rPr>
      </w:pPr>
    </w:p>
    <w:p>
      <w:pPr>
        <w:adjustRightInd w:val="0"/>
        <w:snapToGrid w:val="0"/>
        <w:spacing w:line="440" w:lineRule="exact"/>
        <w:rPr>
          <w:color w:val="auto"/>
          <w:szCs w:val="21"/>
          <w:highlight w:val="none"/>
        </w:rPr>
      </w:pPr>
      <w:r>
        <w:rPr>
          <w:color w:val="auto"/>
          <w:szCs w:val="21"/>
          <w:highlight w:val="none"/>
        </w:rPr>
        <w:t>注：</w:t>
      </w:r>
    </w:p>
    <w:p>
      <w:pPr>
        <w:snapToGrid w:val="0"/>
        <w:spacing w:line="480" w:lineRule="exact"/>
        <w:ind w:firstLine="420" w:firstLineChars="200"/>
        <w:rPr>
          <w:color w:val="auto"/>
          <w:szCs w:val="21"/>
          <w:highlight w:val="none"/>
        </w:rPr>
      </w:pPr>
      <w:r>
        <w:rPr>
          <w:color w:val="auto"/>
          <w:szCs w:val="21"/>
          <w:highlight w:val="none"/>
        </w:rPr>
        <w:t>1．请供应商完整填写本表；</w:t>
      </w:r>
    </w:p>
    <w:p>
      <w:pPr>
        <w:spacing w:line="480" w:lineRule="exact"/>
        <w:ind w:firstLine="420" w:firstLineChars="200"/>
        <w:rPr>
          <w:color w:val="auto"/>
          <w:szCs w:val="21"/>
          <w:highlight w:val="none"/>
        </w:rPr>
      </w:pPr>
      <w:r>
        <w:rPr>
          <w:color w:val="auto"/>
          <w:szCs w:val="21"/>
          <w:highlight w:val="none"/>
        </w:rPr>
        <w:t>2．该表可扩展。</w:t>
      </w:r>
    </w:p>
    <w:p>
      <w:pPr>
        <w:adjustRightInd w:val="0"/>
        <w:snapToGrid w:val="0"/>
        <w:spacing w:line="440" w:lineRule="exact"/>
        <w:rPr>
          <w:color w:val="auto"/>
          <w:szCs w:val="21"/>
          <w:highlight w:val="none"/>
        </w:rPr>
      </w:pPr>
    </w:p>
    <w:p>
      <w:pPr>
        <w:adjustRightInd w:val="0"/>
        <w:snapToGrid w:val="0"/>
        <w:spacing w:line="440" w:lineRule="exact"/>
        <w:rPr>
          <w:color w:val="auto"/>
          <w:szCs w:val="21"/>
          <w:highlight w:val="none"/>
        </w:rPr>
      </w:pPr>
    </w:p>
    <w:p>
      <w:pPr>
        <w:pStyle w:val="18"/>
        <w:rPr>
          <w:color w:val="auto"/>
          <w:highlight w:val="none"/>
        </w:rPr>
      </w:pPr>
    </w:p>
    <w:p>
      <w:pPr>
        <w:pStyle w:val="3"/>
        <w:rPr>
          <w:rFonts w:ascii="Times New Roman" w:hAnsi="Times New Roman" w:eastAsia="宋体"/>
          <w:color w:val="auto"/>
          <w:sz w:val="32"/>
          <w:highlight w:val="none"/>
        </w:rPr>
      </w:pPr>
      <w:bookmarkStart w:id="70" w:name="_Toc10213456"/>
      <w:r>
        <w:rPr>
          <w:rFonts w:ascii="Times New Roman" w:hAnsi="Times New Roman" w:eastAsia="宋体"/>
          <w:color w:val="auto"/>
          <w:sz w:val="32"/>
          <w:highlight w:val="none"/>
        </w:rPr>
        <w:t>三、评比供应商基本情况表</w:t>
      </w:r>
      <w:bookmarkEnd w:id="69"/>
      <w:bookmarkEnd w:id="70"/>
    </w:p>
    <w:tbl>
      <w:tblPr>
        <w:tblStyle w:val="39"/>
        <w:tblW w:w="8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4"/>
        <w:gridCol w:w="1048"/>
        <w:gridCol w:w="705"/>
        <w:gridCol w:w="1753"/>
        <w:gridCol w:w="1753"/>
        <w:gridCol w:w="1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dxa"/>
            <w:gridSpan w:val="2"/>
            <w:vAlign w:val="center"/>
          </w:tcPr>
          <w:p>
            <w:pPr>
              <w:adjustRightInd w:val="0"/>
              <w:snapToGrid w:val="0"/>
              <w:spacing w:line="360" w:lineRule="auto"/>
              <w:jc w:val="center"/>
              <w:rPr>
                <w:color w:val="auto"/>
                <w:szCs w:val="21"/>
                <w:highlight w:val="none"/>
              </w:rPr>
            </w:pPr>
            <w:r>
              <w:rPr>
                <w:color w:val="auto"/>
                <w:szCs w:val="21"/>
                <w:highlight w:val="none"/>
              </w:rPr>
              <w:t>单位名称</w:t>
            </w:r>
          </w:p>
        </w:tc>
        <w:tc>
          <w:tcPr>
            <w:tcW w:w="5964" w:type="dxa"/>
            <w:gridSpan w:val="4"/>
            <w:vAlign w:val="center"/>
          </w:tcPr>
          <w:p>
            <w:pPr>
              <w:adjustRightInd w:val="0"/>
              <w:snapToGrid w:val="0"/>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dxa"/>
            <w:gridSpan w:val="2"/>
            <w:vAlign w:val="center"/>
          </w:tcPr>
          <w:p>
            <w:pPr>
              <w:adjustRightInd w:val="0"/>
              <w:snapToGrid w:val="0"/>
              <w:spacing w:line="360" w:lineRule="auto"/>
              <w:jc w:val="center"/>
              <w:rPr>
                <w:color w:val="auto"/>
                <w:szCs w:val="21"/>
                <w:highlight w:val="none"/>
              </w:rPr>
            </w:pPr>
            <w:r>
              <w:rPr>
                <w:color w:val="auto"/>
                <w:szCs w:val="21"/>
                <w:highlight w:val="none"/>
              </w:rPr>
              <w:t>地址、邮编、电话</w:t>
            </w:r>
          </w:p>
        </w:tc>
        <w:tc>
          <w:tcPr>
            <w:tcW w:w="5964" w:type="dxa"/>
            <w:gridSpan w:val="4"/>
            <w:vAlign w:val="center"/>
          </w:tcPr>
          <w:p>
            <w:pPr>
              <w:adjustRightInd w:val="0"/>
              <w:snapToGrid w:val="0"/>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dxa"/>
            <w:gridSpan w:val="2"/>
            <w:vAlign w:val="center"/>
          </w:tcPr>
          <w:p>
            <w:pPr>
              <w:adjustRightInd w:val="0"/>
              <w:snapToGrid w:val="0"/>
              <w:spacing w:line="360" w:lineRule="auto"/>
              <w:jc w:val="center"/>
              <w:rPr>
                <w:color w:val="auto"/>
                <w:szCs w:val="21"/>
                <w:highlight w:val="none"/>
              </w:rPr>
            </w:pPr>
            <w:r>
              <w:rPr>
                <w:color w:val="auto"/>
                <w:szCs w:val="21"/>
                <w:highlight w:val="none"/>
              </w:rPr>
              <w:t>主要业务范围</w:t>
            </w:r>
          </w:p>
        </w:tc>
        <w:tc>
          <w:tcPr>
            <w:tcW w:w="5964" w:type="dxa"/>
            <w:gridSpan w:val="4"/>
            <w:vAlign w:val="center"/>
          </w:tcPr>
          <w:p>
            <w:pPr>
              <w:adjustRightInd w:val="0"/>
              <w:snapToGrid w:val="0"/>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dxa"/>
            <w:gridSpan w:val="2"/>
            <w:vAlign w:val="center"/>
          </w:tcPr>
          <w:p>
            <w:pPr>
              <w:adjustRightInd w:val="0"/>
              <w:snapToGrid w:val="0"/>
              <w:spacing w:line="360" w:lineRule="auto"/>
              <w:jc w:val="center"/>
              <w:rPr>
                <w:color w:val="auto"/>
                <w:szCs w:val="21"/>
                <w:highlight w:val="none"/>
              </w:rPr>
            </w:pPr>
            <w:r>
              <w:rPr>
                <w:color w:val="auto"/>
                <w:szCs w:val="21"/>
                <w:highlight w:val="none"/>
              </w:rPr>
              <w:t>单位性质</w:t>
            </w:r>
          </w:p>
        </w:tc>
        <w:tc>
          <w:tcPr>
            <w:tcW w:w="5964" w:type="dxa"/>
            <w:gridSpan w:val="4"/>
            <w:vAlign w:val="center"/>
          </w:tcPr>
          <w:p>
            <w:pPr>
              <w:adjustRightInd w:val="0"/>
              <w:snapToGrid w:val="0"/>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dxa"/>
            <w:gridSpan w:val="2"/>
            <w:vAlign w:val="center"/>
          </w:tcPr>
          <w:p>
            <w:pPr>
              <w:adjustRightInd w:val="0"/>
              <w:snapToGrid w:val="0"/>
              <w:spacing w:line="360" w:lineRule="auto"/>
              <w:jc w:val="center"/>
              <w:rPr>
                <w:color w:val="auto"/>
                <w:szCs w:val="21"/>
                <w:highlight w:val="none"/>
              </w:rPr>
            </w:pPr>
            <w:r>
              <w:rPr>
                <w:color w:val="auto"/>
                <w:szCs w:val="21"/>
                <w:highlight w:val="none"/>
              </w:rPr>
              <w:t>成立时间</w:t>
            </w:r>
          </w:p>
        </w:tc>
        <w:tc>
          <w:tcPr>
            <w:tcW w:w="5964" w:type="dxa"/>
            <w:gridSpan w:val="4"/>
            <w:vAlign w:val="center"/>
          </w:tcPr>
          <w:p>
            <w:pPr>
              <w:adjustRightInd w:val="0"/>
              <w:snapToGrid w:val="0"/>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56" w:type="dxa"/>
            <w:gridSpan w:val="6"/>
            <w:vAlign w:val="center"/>
          </w:tcPr>
          <w:p>
            <w:pPr>
              <w:adjustRightInd w:val="0"/>
              <w:snapToGrid w:val="0"/>
              <w:spacing w:line="360" w:lineRule="auto"/>
              <w:jc w:val="center"/>
              <w:rPr>
                <w:color w:val="auto"/>
                <w:szCs w:val="21"/>
                <w:highlight w:val="none"/>
              </w:rPr>
            </w:pPr>
            <w:r>
              <w:rPr>
                <w:color w:val="auto"/>
                <w:szCs w:val="21"/>
                <w:highlight w:val="none"/>
              </w:rPr>
              <w:t>单 位人 员 职 称 构 成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4" w:type="dxa"/>
            <w:vAlign w:val="center"/>
          </w:tcPr>
          <w:p>
            <w:pPr>
              <w:adjustRightInd w:val="0"/>
              <w:snapToGrid w:val="0"/>
              <w:spacing w:line="360" w:lineRule="auto"/>
              <w:jc w:val="center"/>
              <w:rPr>
                <w:color w:val="auto"/>
                <w:szCs w:val="21"/>
                <w:highlight w:val="none"/>
              </w:rPr>
            </w:pPr>
            <w:r>
              <w:rPr>
                <w:color w:val="auto"/>
                <w:szCs w:val="21"/>
                <w:highlight w:val="none"/>
              </w:rPr>
              <w:t>人员总数</w:t>
            </w:r>
          </w:p>
        </w:tc>
        <w:tc>
          <w:tcPr>
            <w:tcW w:w="1753" w:type="dxa"/>
            <w:gridSpan w:val="2"/>
            <w:vAlign w:val="center"/>
          </w:tcPr>
          <w:p>
            <w:pPr>
              <w:adjustRightInd w:val="0"/>
              <w:snapToGrid w:val="0"/>
              <w:spacing w:line="360" w:lineRule="auto"/>
              <w:jc w:val="center"/>
              <w:rPr>
                <w:color w:val="auto"/>
                <w:szCs w:val="21"/>
                <w:highlight w:val="none"/>
              </w:rPr>
            </w:pPr>
            <w:r>
              <w:rPr>
                <w:color w:val="auto"/>
                <w:szCs w:val="21"/>
                <w:highlight w:val="none"/>
              </w:rPr>
              <w:t>高级职称</w:t>
            </w:r>
          </w:p>
        </w:tc>
        <w:tc>
          <w:tcPr>
            <w:tcW w:w="1753" w:type="dxa"/>
            <w:vAlign w:val="center"/>
          </w:tcPr>
          <w:p>
            <w:pPr>
              <w:adjustRightInd w:val="0"/>
              <w:snapToGrid w:val="0"/>
              <w:spacing w:line="360" w:lineRule="auto"/>
              <w:jc w:val="center"/>
              <w:rPr>
                <w:color w:val="auto"/>
                <w:szCs w:val="21"/>
                <w:highlight w:val="none"/>
              </w:rPr>
            </w:pPr>
            <w:r>
              <w:rPr>
                <w:color w:val="auto"/>
                <w:szCs w:val="21"/>
                <w:highlight w:val="none"/>
              </w:rPr>
              <w:t>中级职称</w:t>
            </w:r>
          </w:p>
        </w:tc>
        <w:tc>
          <w:tcPr>
            <w:tcW w:w="1753" w:type="dxa"/>
            <w:vAlign w:val="center"/>
          </w:tcPr>
          <w:p>
            <w:pPr>
              <w:adjustRightInd w:val="0"/>
              <w:snapToGrid w:val="0"/>
              <w:spacing w:line="360" w:lineRule="auto"/>
              <w:jc w:val="center"/>
              <w:rPr>
                <w:color w:val="auto"/>
                <w:szCs w:val="21"/>
                <w:highlight w:val="none"/>
              </w:rPr>
            </w:pPr>
            <w:r>
              <w:rPr>
                <w:color w:val="auto"/>
                <w:szCs w:val="21"/>
                <w:highlight w:val="none"/>
              </w:rPr>
              <w:t>初级职称</w:t>
            </w:r>
          </w:p>
        </w:tc>
        <w:tc>
          <w:tcPr>
            <w:tcW w:w="1753" w:type="dxa"/>
            <w:vAlign w:val="center"/>
          </w:tcPr>
          <w:p>
            <w:pPr>
              <w:adjustRightInd w:val="0"/>
              <w:snapToGrid w:val="0"/>
              <w:spacing w:line="360" w:lineRule="auto"/>
              <w:jc w:val="center"/>
              <w:rPr>
                <w:color w:val="auto"/>
                <w:szCs w:val="21"/>
                <w:highlight w:val="none"/>
              </w:rPr>
            </w:pPr>
            <w:r>
              <w:rPr>
                <w:color w:val="auto"/>
                <w:szCs w:val="21"/>
                <w:highlight w:val="none"/>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44" w:type="dxa"/>
            <w:vAlign w:val="center"/>
          </w:tcPr>
          <w:p>
            <w:pPr>
              <w:adjustRightInd w:val="0"/>
              <w:snapToGrid w:val="0"/>
              <w:spacing w:line="360" w:lineRule="auto"/>
              <w:jc w:val="center"/>
              <w:rPr>
                <w:color w:val="auto"/>
                <w:szCs w:val="21"/>
                <w:highlight w:val="none"/>
              </w:rPr>
            </w:pPr>
          </w:p>
        </w:tc>
        <w:tc>
          <w:tcPr>
            <w:tcW w:w="1753" w:type="dxa"/>
            <w:gridSpan w:val="2"/>
            <w:vAlign w:val="center"/>
          </w:tcPr>
          <w:p>
            <w:pPr>
              <w:adjustRightInd w:val="0"/>
              <w:snapToGrid w:val="0"/>
              <w:spacing w:line="360" w:lineRule="auto"/>
              <w:jc w:val="center"/>
              <w:rPr>
                <w:color w:val="auto"/>
                <w:szCs w:val="21"/>
                <w:highlight w:val="none"/>
              </w:rPr>
            </w:pPr>
          </w:p>
        </w:tc>
        <w:tc>
          <w:tcPr>
            <w:tcW w:w="1753" w:type="dxa"/>
            <w:vAlign w:val="center"/>
          </w:tcPr>
          <w:p>
            <w:pPr>
              <w:adjustRightInd w:val="0"/>
              <w:snapToGrid w:val="0"/>
              <w:spacing w:line="360" w:lineRule="auto"/>
              <w:jc w:val="center"/>
              <w:rPr>
                <w:color w:val="auto"/>
                <w:szCs w:val="21"/>
                <w:highlight w:val="none"/>
              </w:rPr>
            </w:pPr>
          </w:p>
        </w:tc>
        <w:tc>
          <w:tcPr>
            <w:tcW w:w="1753" w:type="dxa"/>
            <w:vAlign w:val="center"/>
          </w:tcPr>
          <w:p>
            <w:pPr>
              <w:adjustRightInd w:val="0"/>
              <w:snapToGrid w:val="0"/>
              <w:spacing w:line="360" w:lineRule="auto"/>
              <w:jc w:val="center"/>
              <w:rPr>
                <w:color w:val="auto"/>
                <w:szCs w:val="21"/>
                <w:highlight w:val="none"/>
              </w:rPr>
            </w:pPr>
          </w:p>
        </w:tc>
        <w:tc>
          <w:tcPr>
            <w:tcW w:w="1753" w:type="dxa"/>
            <w:vAlign w:val="center"/>
          </w:tcPr>
          <w:p>
            <w:pPr>
              <w:adjustRightInd w:val="0"/>
              <w:snapToGrid w:val="0"/>
              <w:spacing w:line="360" w:lineRule="auto"/>
              <w:jc w:val="center"/>
              <w:rPr>
                <w:color w:val="auto"/>
                <w:szCs w:val="21"/>
                <w:highlight w:val="none"/>
              </w:rPr>
            </w:pPr>
          </w:p>
        </w:tc>
      </w:tr>
    </w:tbl>
    <w:p>
      <w:pPr>
        <w:adjustRightInd w:val="0"/>
        <w:snapToGrid w:val="0"/>
        <w:spacing w:line="360" w:lineRule="auto"/>
        <w:rPr>
          <w:color w:val="auto"/>
          <w:szCs w:val="21"/>
          <w:highlight w:val="none"/>
        </w:rPr>
      </w:pPr>
    </w:p>
    <w:p>
      <w:pPr>
        <w:adjustRightInd w:val="0"/>
        <w:snapToGrid w:val="0"/>
        <w:spacing w:line="360" w:lineRule="auto"/>
        <w:rPr>
          <w:color w:val="auto"/>
          <w:szCs w:val="21"/>
          <w:highlight w:val="none"/>
        </w:rPr>
      </w:pPr>
    </w:p>
    <w:p>
      <w:pPr>
        <w:adjustRightInd w:val="0"/>
        <w:snapToGrid w:val="0"/>
        <w:spacing w:line="360" w:lineRule="auto"/>
        <w:rPr>
          <w:color w:val="auto"/>
          <w:szCs w:val="21"/>
          <w:highlight w:val="none"/>
          <w:u w:val="single"/>
        </w:rPr>
      </w:pPr>
      <w:r>
        <w:rPr>
          <w:color w:val="auto"/>
          <w:szCs w:val="21"/>
          <w:highlight w:val="none"/>
        </w:rPr>
        <w:t>评比供应商：</w:t>
      </w:r>
      <w:r>
        <w:rPr>
          <w:color w:val="auto"/>
          <w:szCs w:val="21"/>
          <w:highlight w:val="none"/>
          <w:u w:val="single"/>
        </w:rPr>
        <w:t xml:space="preserve">     （公章）        </w:t>
      </w:r>
    </w:p>
    <w:p>
      <w:pPr>
        <w:adjustRightInd w:val="0"/>
        <w:snapToGrid w:val="0"/>
        <w:spacing w:line="440" w:lineRule="exact"/>
        <w:rPr>
          <w:color w:val="auto"/>
          <w:szCs w:val="21"/>
          <w:highlight w:val="none"/>
        </w:rPr>
      </w:pPr>
      <w:r>
        <w:rPr>
          <w:color w:val="auto"/>
          <w:szCs w:val="21"/>
          <w:highlight w:val="none"/>
        </w:rPr>
        <w:t>法定代表人（或法定代表人授权代表）或自然人:</w:t>
      </w:r>
      <w:r>
        <w:rPr>
          <w:color w:val="auto"/>
          <w:szCs w:val="21"/>
          <w:highlight w:val="none"/>
          <w:u w:val="single"/>
        </w:rPr>
        <w:t>（签署或盖章）</w:t>
      </w:r>
    </w:p>
    <w:p>
      <w:pPr>
        <w:adjustRightInd w:val="0"/>
        <w:snapToGrid w:val="0"/>
        <w:spacing w:line="360" w:lineRule="auto"/>
        <w:rPr>
          <w:color w:val="auto"/>
          <w:szCs w:val="21"/>
          <w:highlight w:val="none"/>
        </w:rPr>
      </w:pPr>
      <w:r>
        <w:rPr>
          <w:color w:val="auto"/>
          <w:szCs w:val="21"/>
          <w:highlight w:val="none"/>
        </w:rPr>
        <w:t>日期： 年 月 日</w:t>
      </w:r>
    </w:p>
    <w:p>
      <w:pPr>
        <w:pStyle w:val="3"/>
        <w:rPr>
          <w:rFonts w:ascii="Times New Roman" w:hAnsi="Times New Roman" w:eastAsia="宋体"/>
          <w:color w:val="auto"/>
          <w:sz w:val="32"/>
          <w:highlight w:val="none"/>
        </w:rPr>
      </w:pPr>
      <w:r>
        <w:rPr>
          <w:rFonts w:ascii="Times New Roman" w:hAnsi="Times New Roman" w:eastAsia="宋体"/>
          <w:color w:val="auto"/>
          <w:sz w:val="32"/>
          <w:highlight w:val="none"/>
        </w:rPr>
        <w:br w:type="page"/>
      </w:r>
      <w:bookmarkStart w:id="71" w:name="_Toc10213457"/>
      <w:bookmarkStart w:id="72" w:name="_Toc68963489"/>
      <w:r>
        <w:rPr>
          <w:rFonts w:ascii="Times New Roman" w:hAnsi="Times New Roman" w:eastAsia="宋体"/>
          <w:color w:val="auto"/>
          <w:sz w:val="32"/>
          <w:highlight w:val="none"/>
        </w:rPr>
        <w:t>四、交货人员构成</w:t>
      </w:r>
      <w:bookmarkEnd w:id="71"/>
      <w:bookmarkEnd w:id="72"/>
    </w:p>
    <w:p>
      <w:pPr>
        <w:adjustRightInd w:val="0"/>
        <w:snapToGrid w:val="0"/>
        <w:spacing w:line="360" w:lineRule="auto"/>
        <w:rPr>
          <w:color w:val="auto"/>
          <w:sz w:val="24"/>
          <w:szCs w:val="21"/>
          <w:highlight w:val="none"/>
        </w:rPr>
      </w:pPr>
    </w:p>
    <w:tbl>
      <w:tblPr>
        <w:tblStyle w:val="39"/>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936"/>
        <w:gridCol w:w="936"/>
        <w:gridCol w:w="1873"/>
        <w:gridCol w:w="1069"/>
        <w:gridCol w:w="1202"/>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8528" w:type="dxa"/>
            <w:gridSpan w:val="7"/>
          </w:tcPr>
          <w:p>
            <w:pPr>
              <w:pStyle w:val="19"/>
              <w:tabs>
                <w:tab w:val="left" w:pos="6300"/>
              </w:tabs>
              <w:snapToGrid w:val="0"/>
              <w:spacing w:line="440" w:lineRule="exact"/>
              <w:ind w:firstLine="0"/>
              <w:jc w:val="center"/>
              <w:rPr>
                <w:rFonts w:ascii="Times New Roman"/>
                <w:color w:val="auto"/>
                <w:sz w:val="21"/>
                <w:szCs w:val="21"/>
                <w:highlight w:val="none"/>
              </w:rPr>
            </w:pPr>
            <w:r>
              <w:rPr>
                <w:rFonts w:ascii="Times New Roman"/>
                <w:color w:val="auto"/>
                <w:sz w:val="21"/>
                <w:szCs w:val="21"/>
                <w:highlight w:val="none"/>
              </w:rPr>
              <w:t>计划用于本项目的主要参与人员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0" w:type="dxa"/>
            <w:vAlign w:val="center"/>
          </w:tcPr>
          <w:p>
            <w:pPr>
              <w:pStyle w:val="19"/>
              <w:tabs>
                <w:tab w:val="left" w:pos="6300"/>
              </w:tabs>
              <w:snapToGrid w:val="0"/>
              <w:spacing w:line="440" w:lineRule="exact"/>
              <w:ind w:firstLine="0"/>
              <w:jc w:val="center"/>
              <w:rPr>
                <w:rFonts w:ascii="Times New Roman"/>
                <w:color w:val="auto"/>
                <w:sz w:val="21"/>
                <w:szCs w:val="21"/>
                <w:highlight w:val="none"/>
              </w:rPr>
            </w:pPr>
            <w:r>
              <w:rPr>
                <w:rFonts w:ascii="Times New Roman"/>
                <w:color w:val="auto"/>
                <w:sz w:val="21"/>
                <w:szCs w:val="21"/>
                <w:highlight w:val="none"/>
              </w:rPr>
              <w:t>姓名</w:t>
            </w:r>
          </w:p>
        </w:tc>
        <w:tc>
          <w:tcPr>
            <w:tcW w:w="936" w:type="dxa"/>
            <w:vAlign w:val="center"/>
          </w:tcPr>
          <w:p>
            <w:pPr>
              <w:pStyle w:val="19"/>
              <w:tabs>
                <w:tab w:val="left" w:pos="6300"/>
              </w:tabs>
              <w:snapToGrid w:val="0"/>
              <w:spacing w:line="440" w:lineRule="exact"/>
              <w:ind w:firstLine="0"/>
              <w:jc w:val="center"/>
              <w:rPr>
                <w:rFonts w:ascii="Times New Roman"/>
                <w:color w:val="auto"/>
                <w:sz w:val="21"/>
                <w:szCs w:val="21"/>
                <w:highlight w:val="none"/>
              </w:rPr>
            </w:pPr>
            <w:r>
              <w:rPr>
                <w:rFonts w:ascii="Times New Roman"/>
                <w:color w:val="auto"/>
                <w:sz w:val="21"/>
                <w:szCs w:val="21"/>
                <w:highlight w:val="none"/>
              </w:rPr>
              <w:t>年龄</w:t>
            </w:r>
          </w:p>
        </w:tc>
        <w:tc>
          <w:tcPr>
            <w:tcW w:w="936" w:type="dxa"/>
            <w:vAlign w:val="center"/>
          </w:tcPr>
          <w:p>
            <w:pPr>
              <w:pStyle w:val="19"/>
              <w:tabs>
                <w:tab w:val="left" w:pos="6300"/>
              </w:tabs>
              <w:snapToGrid w:val="0"/>
              <w:spacing w:line="440" w:lineRule="exact"/>
              <w:ind w:firstLine="0"/>
              <w:jc w:val="center"/>
              <w:rPr>
                <w:rFonts w:ascii="Times New Roman"/>
                <w:color w:val="auto"/>
                <w:sz w:val="21"/>
                <w:szCs w:val="21"/>
                <w:highlight w:val="none"/>
              </w:rPr>
            </w:pPr>
            <w:r>
              <w:rPr>
                <w:rFonts w:ascii="Times New Roman"/>
                <w:color w:val="auto"/>
                <w:sz w:val="21"/>
                <w:szCs w:val="21"/>
                <w:highlight w:val="none"/>
              </w:rPr>
              <w:t>职务</w:t>
            </w:r>
          </w:p>
        </w:tc>
        <w:tc>
          <w:tcPr>
            <w:tcW w:w="1873" w:type="dxa"/>
            <w:vAlign w:val="center"/>
          </w:tcPr>
          <w:p>
            <w:pPr>
              <w:pStyle w:val="19"/>
              <w:tabs>
                <w:tab w:val="left" w:pos="6300"/>
              </w:tabs>
              <w:snapToGrid w:val="0"/>
              <w:spacing w:line="440" w:lineRule="exact"/>
              <w:ind w:firstLine="0"/>
              <w:jc w:val="center"/>
              <w:rPr>
                <w:rFonts w:ascii="Times New Roman"/>
                <w:color w:val="auto"/>
                <w:sz w:val="21"/>
                <w:szCs w:val="21"/>
                <w:highlight w:val="none"/>
              </w:rPr>
            </w:pPr>
            <w:r>
              <w:rPr>
                <w:rFonts w:ascii="Times New Roman"/>
                <w:color w:val="auto"/>
                <w:sz w:val="21"/>
                <w:szCs w:val="21"/>
                <w:highlight w:val="none"/>
              </w:rPr>
              <w:t>职称</w:t>
            </w:r>
          </w:p>
        </w:tc>
        <w:tc>
          <w:tcPr>
            <w:tcW w:w="1069" w:type="dxa"/>
            <w:vAlign w:val="center"/>
          </w:tcPr>
          <w:p>
            <w:pPr>
              <w:pStyle w:val="19"/>
              <w:tabs>
                <w:tab w:val="left" w:pos="6300"/>
              </w:tabs>
              <w:snapToGrid w:val="0"/>
              <w:spacing w:line="440" w:lineRule="exact"/>
              <w:ind w:firstLine="0"/>
              <w:jc w:val="center"/>
              <w:rPr>
                <w:rFonts w:ascii="Times New Roman"/>
                <w:color w:val="auto"/>
                <w:sz w:val="21"/>
                <w:szCs w:val="21"/>
                <w:highlight w:val="none"/>
              </w:rPr>
            </w:pPr>
            <w:r>
              <w:rPr>
                <w:rFonts w:ascii="Times New Roman"/>
                <w:color w:val="auto"/>
                <w:sz w:val="21"/>
                <w:szCs w:val="21"/>
                <w:highlight w:val="none"/>
              </w:rPr>
              <w:t>专业</w:t>
            </w:r>
          </w:p>
        </w:tc>
        <w:tc>
          <w:tcPr>
            <w:tcW w:w="1202" w:type="dxa"/>
            <w:vAlign w:val="center"/>
          </w:tcPr>
          <w:p>
            <w:pPr>
              <w:pStyle w:val="19"/>
              <w:tabs>
                <w:tab w:val="left" w:pos="6300"/>
              </w:tabs>
              <w:snapToGrid w:val="0"/>
              <w:spacing w:line="440" w:lineRule="exact"/>
              <w:ind w:firstLine="0"/>
              <w:jc w:val="center"/>
              <w:rPr>
                <w:rFonts w:ascii="Times New Roman"/>
                <w:color w:val="auto"/>
                <w:sz w:val="21"/>
                <w:szCs w:val="21"/>
                <w:highlight w:val="none"/>
              </w:rPr>
            </w:pPr>
            <w:r>
              <w:rPr>
                <w:rFonts w:ascii="Times New Roman"/>
                <w:color w:val="auto"/>
                <w:sz w:val="21"/>
                <w:szCs w:val="21"/>
                <w:highlight w:val="none"/>
              </w:rPr>
              <w:t>学历</w:t>
            </w:r>
          </w:p>
        </w:tc>
        <w:tc>
          <w:tcPr>
            <w:tcW w:w="1472" w:type="dxa"/>
            <w:vAlign w:val="center"/>
          </w:tcPr>
          <w:p>
            <w:pPr>
              <w:pStyle w:val="19"/>
              <w:tabs>
                <w:tab w:val="left" w:pos="6300"/>
              </w:tabs>
              <w:snapToGrid w:val="0"/>
              <w:spacing w:line="440" w:lineRule="exact"/>
              <w:ind w:firstLine="0"/>
              <w:jc w:val="center"/>
              <w:rPr>
                <w:rFonts w:ascii="Times New Roman"/>
                <w:color w:val="auto"/>
                <w:sz w:val="21"/>
                <w:szCs w:val="21"/>
                <w:highlight w:val="none"/>
              </w:rPr>
            </w:pPr>
            <w:r>
              <w:rPr>
                <w:rFonts w:ascii="Times New Roman"/>
                <w:color w:val="auto"/>
                <w:sz w:val="21"/>
                <w:szCs w:val="21"/>
                <w:highlight w:val="none"/>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0" w:type="dxa"/>
            <w:vAlign w:val="center"/>
          </w:tcPr>
          <w:p>
            <w:pPr>
              <w:pStyle w:val="19"/>
              <w:tabs>
                <w:tab w:val="left" w:pos="6300"/>
              </w:tabs>
              <w:snapToGrid w:val="0"/>
              <w:spacing w:line="440" w:lineRule="exact"/>
              <w:ind w:firstLine="0"/>
              <w:jc w:val="center"/>
              <w:rPr>
                <w:rFonts w:ascii="Times New Roman"/>
                <w:color w:val="auto"/>
                <w:sz w:val="21"/>
                <w:szCs w:val="21"/>
                <w:highlight w:val="none"/>
              </w:rPr>
            </w:pPr>
          </w:p>
        </w:tc>
        <w:tc>
          <w:tcPr>
            <w:tcW w:w="936" w:type="dxa"/>
            <w:vAlign w:val="center"/>
          </w:tcPr>
          <w:p>
            <w:pPr>
              <w:pStyle w:val="19"/>
              <w:tabs>
                <w:tab w:val="left" w:pos="6300"/>
              </w:tabs>
              <w:snapToGrid w:val="0"/>
              <w:spacing w:line="440" w:lineRule="exact"/>
              <w:ind w:firstLine="0"/>
              <w:jc w:val="center"/>
              <w:rPr>
                <w:rFonts w:ascii="Times New Roman"/>
                <w:color w:val="auto"/>
                <w:sz w:val="21"/>
                <w:szCs w:val="21"/>
                <w:highlight w:val="none"/>
              </w:rPr>
            </w:pPr>
          </w:p>
        </w:tc>
        <w:tc>
          <w:tcPr>
            <w:tcW w:w="936" w:type="dxa"/>
            <w:vAlign w:val="center"/>
          </w:tcPr>
          <w:p>
            <w:pPr>
              <w:pStyle w:val="19"/>
              <w:tabs>
                <w:tab w:val="left" w:pos="6300"/>
              </w:tabs>
              <w:snapToGrid w:val="0"/>
              <w:spacing w:line="440" w:lineRule="exact"/>
              <w:ind w:firstLine="0"/>
              <w:jc w:val="center"/>
              <w:rPr>
                <w:rFonts w:ascii="Times New Roman"/>
                <w:color w:val="auto"/>
                <w:sz w:val="21"/>
                <w:szCs w:val="21"/>
                <w:highlight w:val="none"/>
              </w:rPr>
            </w:pPr>
          </w:p>
        </w:tc>
        <w:tc>
          <w:tcPr>
            <w:tcW w:w="1873" w:type="dxa"/>
            <w:vAlign w:val="center"/>
          </w:tcPr>
          <w:p>
            <w:pPr>
              <w:pStyle w:val="19"/>
              <w:tabs>
                <w:tab w:val="left" w:pos="6300"/>
              </w:tabs>
              <w:snapToGrid w:val="0"/>
              <w:spacing w:line="440" w:lineRule="exact"/>
              <w:ind w:firstLine="0"/>
              <w:jc w:val="center"/>
              <w:rPr>
                <w:rFonts w:ascii="Times New Roman"/>
                <w:color w:val="auto"/>
                <w:sz w:val="21"/>
                <w:szCs w:val="21"/>
                <w:highlight w:val="none"/>
              </w:rPr>
            </w:pPr>
          </w:p>
        </w:tc>
        <w:tc>
          <w:tcPr>
            <w:tcW w:w="1069" w:type="dxa"/>
            <w:vAlign w:val="center"/>
          </w:tcPr>
          <w:p>
            <w:pPr>
              <w:pStyle w:val="19"/>
              <w:tabs>
                <w:tab w:val="left" w:pos="6300"/>
              </w:tabs>
              <w:snapToGrid w:val="0"/>
              <w:spacing w:line="440" w:lineRule="exact"/>
              <w:ind w:firstLine="0"/>
              <w:jc w:val="center"/>
              <w:rPr>
                <w:rFonts w:ascii="Times New Roman"/>
                <w:color w:val="auto"/>
                <w:sz w:val="21"/>
                <w:szCs w:val="21"/>
                <w:highlight w:val="none"/>
              </w:rPr>
            </w:pPr>
          </w:p>
        </w:tc>
        <w:tc>
          <w:tcPr>
            <w:tcW w:w="1202" w:type="dxa"/>
          </w:tcPr>
          <w:p>
            <w:pPr>
              <w:pStyle w:val="19"/>
              <w:tabs>
                <w:tab w:val="left" w:pos="6300"/>
              </w:tabs>
              <w:snapToGrid w:val="0"/>
              <w:spacing w:line="440" w:lineRule="exact"/>
              <w:ind w:firstLine="0"/>
              <w:jc w:val="center"/>
              <w:rPr>
                <w:rFonts w:ascii="Times New Roman"/>
                <w:color w:val="auto"/>
                <w:sz w:val="21"/>
                <w:szCs w:val="21"/>
                <w:highlight w:val="none"/>
              </w:rPr>
            </w:pPr>
          </w:p>
        </w:tc>
        <w:tc>
          <w:tcPr>
            <w:tcW w:w="1472" w:type="dxa"/>
            <w:vAlign w:val="center"/>
          </w:tcPr>
          <w:p>
            <w:pPr>
              <w:pStyle w:val="19"/>
              <w:tabs>
                <w:tab w:val="left" w:pos="6300"/>
              </w:tabs>
              <w:snapToGrid w:val="0"/>
              <w:spacing w:line="440" w:lineRule="exact"/>
              <w:ind w:firstLine="0"/>
              <w:jc w:val="center"/>
              <w:rPr>
                <w:rFonts w:asci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0" w:type="dxa"/>
            <w:vAlign w:val="center"/>
          </w:tcPr>
          <w:p>
            <w:pPr>
              <w:pStyle w:val="19"/>
              <w:tabs>
                <w:tab w:val="left" w:pos="6300"/>
              </w:tabs>
              <w:snapToGrid w:val="0"/>
              <w:spacing w:line="440" w:lineRule="exact"/>
              <w:ind w:firstLine="0"/>
              <w:jc w:val="center"/>
              <w:rPr>
                <w:rFonts w:ascii="Times New Roman"/>
                <w:color w:val="auto"/>
                <w:sz w:val="21"/>
                <w:szCs w:val="21"/>
                <w:highlight w:val="none"/>
              </w:rPr>
            </w:pPr>
          </w:p>
        </w:tc>
        <w:tc>
          <w:tcPr>
            <w:tcW w:w="936" w:type="dxa"/>
            <w:vAlign w:val="center"/>
          </w:tcPr>
          <w:p>
            <w:pPr>
              <w:pStyle w:val="19"/>
              <w:tabs>
                <w:tab w:val="left" w:pos="6300"/>
              </w:tabs>
              <w:snapToGrid w:val="0"/>
              <w:spacing w:line="440" w:lineRule="exact"/>
              <w:ind w:firstLine="0"/>
              <w:jc w:val="center"/>
              <w:rPr>
                <w:rFonts w:ascii="Times New Roman"/>
                <w:color w:val="auto"/>
                <w:sz w:val="21"/>
                <w:szCs w:val="21"/>
                <w:highlight w:val="none"/>
              </w:rPr>
            </w:pPr>
          </w:p>
        </w:tc>
        <w:tc>
          <w:tcPr>
            <w:tcW w:w="936" w:type="dxa"/>
            <w:vAlign w:val="center"/>
          </w:tcPr>
          <w:p>
            <w:pPr>
              <w:pStyle w:val="19"/>
              <w:tabs>
                <w:tab w:val="left" w:pos="6300"/>
              </w:tabs>
              <w:snapToGrid w:val="0"/>
              <w:spacing w:line="440" w:lineRule="exact"/>
              <w:ind w:firstLine="0"/>
              <w:jc w:val="center"/>
              <w:rPr>
                <w:rFonts w:ascii="Times New Roman"/>
                <w:color w:val="auto"/>
                <w:sz w:val="21"/>
                <w:szCs w:val="21"/>
                <w:highlight w:val="none"/>
              </w:rPr>
            </w:pPr>
          </w:p>
        </w:tc>
        <w:tc>
          <w:tcPr>
            <w:tcW w:w="1873" w:type="dxa"/>
            <w:vAlign w:val="center"/>
          </w:tcPr>
          <w:p>
            <w:pPr>
              <w:pStyle w:val="19"/>
              <w:tabs>
                <w:tab w:val="left" w:pos="6300"/>
              </w:tabs>
              <w:snapToGrid w:val="0"/>
              <w:spacing w:line="440" w:lineRule="exact"/>
              <w:ind w:firstLine="0"/>
              <w:jc w:val="center"/>
              <w:rPr>
                <w:rFonts w:ascii="Times New Roman"/>
                <w:color w:val="auto"/>
                <w:sz w:val="21"/>
                <w:szCs w:val="21"/>
                <w:highlight w:val="none"/>
              </w:rPr>
            </w:pPr>
          </w:p>
        </w:tc>
        <w:tc>
          <w:tcPr>
            <w:tcW w:w="1069" w:type="dxa"/>
            <w:vAlign w:val="center"/>
          </w:tcPr>
          <w:p>
            <w:pPr>
              <w:pStyle w:val="19"/>
              <w:tabs>
                <w:tab w:val="left" w:pos="6300"/>
              </w:tabs>
              <w:snapToGrid w:val="0"/>
              <w:spacing w:line="440" w:lineRule="exact"/>
              <w:ind w:firstLine="0"/>
              <w:jc w:val="center"/>
              <w:rPr>
                <w:rFonts w:ascii="Times New Roman"/>
                <w:color w:val="auto"/>
                <w:sz w:val="21"/>
                <w:szCs w:val="21"/>
                <w:highlight w:val="none"/>
              </w:rPr>
            </w:pPr>
          </w:p>
        </w:tc>
        <w:tc>
          <w:tcPr>
            <w:tcW w:w="1202" w:type="dxa"/>
          </w:tcPr>
          <w:p>
            <w:pPr>
              <w:pStyle w:val="19"/>
              <w:tabs>
                <w:tab w:val="left" w:pos="6300"/>
              </w:tabs>
              <w:snapToGrid w:val="0"/>
              <w:spacing w:line="440" w:lineRule="exact"/>
              <w:ind w:firstLine="0"/>
              <w:jc w:val="center"/>
              <w:rPr>
                <w:rFonts w:ascii="Times New Roman"/>
                <w:color w:val="auto"/>
                <w:sz w:val="21"/>
                <w:szCs w:val="21"/>
                <w:highlight w:val="none"/>
              </w:rPr>
            </w:pPr>
          </w:p>
        </w:tc>
        <w:tc>
          <w:tcPr>
            <w:tcW w:w="1472" w:type="dxa"/>
            <w:vAlign w:val="center"/>
          </w:tcPr>
          <w:p>
            <w:pPr>
              <w:pStyle w:val="19"/>
              <w:tabs>
                <w:tab w:val="left" w:pos="6300"/>
              </w:tabs>
              <w:snapToGrid w:val="0"/>
              <w:spacing w:line="440" w:lineRule="exact"/>
              <w:ind w:firstLine="0"/>
              <w:jc w:val="center"/>
              <w:rPr>
                <w:rFonts w:asci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0" w:type="dxa"/>
            <w:vAlign w:val="center"/>
          </w:tcPr>
          <w:p>
            <w:pPr>
              <w:pStyle w:val="19"/>
              <w:tabs>
                <w:tab w:val="left" w:pos="6300"/>
              </w:tabs>
              <w:snapToGrid w:val="0"/>
              <w:spacing w:line="440" w:lineRule="exact"/>
              <w:ind w:firstLine="0"/>
              <w:jc w:val="center"/>
              <w:rPr>
                <w:rFonts w:ascii="Times New Roman"/>
                <w:color w:val="auto"/>
                <w:sz w:val="21"/>
                <w:szCs w:val="21"/>
                <w:highlight w:val="none"/>
              </w:rPr>
            </w:pPr>
          </w:p>
        </w:tc>
        <w:tc>
          <w:tcPr>
            <w:tcW w:w="936" w:type="dxa"/>
            <w:vAlign w:val="center"/>
          </w:tcPr>
          <w:p>
            <w:pPr>
              <w:pStyle w:val="19"/>
              <w:tabs>
                <w:tab w:val="left" w:pos="6300"/>
              </w:tabs>
              <w:snapToGrid w:val="0"/>
              <w:spacing w:line="440" w:lineRule="exact"/>
              <w:ind w:firstLine="0"/>
              <w:jc w:val="center"/>
              <w:rPr>
                <w:rFonts w:ascii="Times New Roman"/>
                <w:color w:val="auto"/>
                <w:sz w:val="21"/>
                <w:szCs w:val="21"/>
                <w:highlight w:val="none"/>
              </w:rPr>
            </w:pPr>
          </w:p>
        </w:tc>
        <w:tc>
          <w:tcPr>
            <w:tcW w:w="936" w:type="dxa"/>
            <w:vAlign w:val="center"/>
          </w:tcPr>
          <w:p>
            <w:pPr>
              <w:pStyle w:val="19"/>
              <w:tabs>
                <w:tab w:val="left" w:pos="6300"/>
              </w:tabs>
              <w:snapToGrid w:val="0"/>
              <w:spacing w:line="440" w:lineRule="exact"/>
              <w:ind w:firstLine="0"/>
              <w:jc w:val="center"/>
              <w:rPr>
                <w:rFonts w:ascii="Times New Roman"/>
                <w:color w:val="auto"/>
                <w:sz w:val="21"/>
                <w:szCs w:val="21"/>
                <w:highlight w:val="none"/>
              </w:rPr>
            </w:pPr>
          </w:p>
        </w:tc>
        <w:tc>
          <w:tcPr>
            <w:tcW w:w="1873" w:type="dxa"/>
            <w:vAlign w:val="center"/>
          </w:tcPr>
          <w:p>
            <w:pPr>
              <w:pStyle w:val="19"/>
              <w:tabs>
                <w:tab w:val="left" w:pos="6300"/>
              </w:tabs>
              <w:snapToGrid w:val="0"/>
              <w:spacing w:line="440" w:lineRule="exact"/>
              <w:ind w:firstLine="0"/>
              <w:jc w:val="center"/>
              <w:rPr>
                <w:rFonts w:ascii="Times New Roman"/>
                <w:color w:val="auto"/>
                <w:sz w:val="21"/>
                <w:szCs w:val="21"/>
                <w:highlight w:val="none"/>
              </w:rPr>
            </w:pPr>
          </w:p>
        </w:tc>
        <w:tc>
          <w:tcPr>
            <w:tcW w:w="1069" w:type="dxa"/>
            <w:vAlign w:val="center"/>
          </w:tcPr>
          <w:p>
            <w:pPr>
              <w:pStyle w:val="19"/>
              <w:tabs>
                <w:tab w:val="left" w:pos="6300"/>
              </w:tabs>
              <w:snapToGrid w:val="0"/>
              <w:spacing w:line="440" w:lineRule="exact"/>
              <w:ind w:firstLine="0"/>
              <w:jc w:val="center"/>
              <w:rPr>
                <w:rFonts w:ascii="Times New Roman"/>
                <w:color w:val="auto"/>
                <w:sz w:val="21"/>
                <w:szCs w:val="21"/>
                <w:highlight w:val="none"/>
              </w:rPr>
            </w:pPr>
          </w:p>
        </w:tc>
        <w:tc>
          <w:tcPr>
            <w:tcW w:w="1202" w:type="dxa"/>
          </w:tcPr>
          <w:p>
            <w:pPr>
              <w:pStyle w:val="19"/>
              <w:tabs>
                <w:tab w:val="left" w:pos="6300"/>
              </w:tabs>
              <w:snapToGrid w:val="0"/>
              <w:spacing w:line="440" w:lineRule="exact"/>
              <w:ind w:firstLine="0"/>
              <w:jc w:val="center"/>
              <w:rPr>
                <w:rFonts w:ascii="Times New Roman"/>
                <w:color w:val="auto"/>
                <w:sz w:val="21"/>
                <w:szCs w:val="21"/>
                <w:highlight w:val="none"/>
              </w:rPr>
            </w:pPr>
          </w:p>
        </w:tc>
        <w:tc>
          <w:tcPr>
            <w:tcW w:w="1472" w:type="dxa"/>
            <w:vAlign w:val="center"/>
          </w:tcPr>
          <w:p>
            <w:pPr>
              <w:pStyle w:val="19"/>
              <w:tabs>
                <w:tab w:val="left" w:pos="6300"/>
              </w:tabs>
              <w:snapToGrid w:val="0"/>
              <w:spacing w:line="440" w:lineRule="exact"/>
              <w:ind w:firstLine="0"/>
              <w:jc w:val="center"/>
              <w:rPr>
                <w:rFonts w:asci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0" w:type="dxa"/>
            <w:vAlign w:val="center"/>
          </w:tcPr>
          <w:p>
            <w:pPr>
              <w:pStyle w:val="19"/>
              <w:tabs>
                <w:tab w:val="left" w:pos="6300"/>
              </w:tabs>
              <w:snapToGrid w:val="0"/>
              <w:spacing w:line="440" w:lineRule="exact"/>
              <w:ind w:firstLine="0"/>
              <w:jc w:val="center"/>
              <w:rPr>
                <w:rFonts w:ascii="Times New Roman"/>
                <w:color w:val="auto"/>
                <w:sz w:val="21"/>
                <w:szCs w:val="21"/>
                <w:highlight w:val="none"/>
              </w:rPr>
            </w:pPr>
          </w:p>
        </w:tc>
        <w:tc>
          <w:tcPr>
            <w:tcW w:w="936" w:type="dxa"/>
            <w:vAlign w:val="center"/>
          </w:tcPr>
          <w:p>
            <w:pPr>
              <w:pStyle w:val="19"/>
              <w:tabs>
                <w:tab w:val="left" w:pos="6300"/>
              </w:tabs>
              <w:snapToGrid w:val="0"/>
              <w:spacing w:line="440" w:lineRule="exact"/>
              <w:ind w:firstLine="0"/>
              <w:jc w:val="center"/>
              <w:rPr>
                <w:rFonts w:ascii="Times New Roman"/>
                <w:color w:val="auto"/>
                <w:sz w:val="21"/>
                <w:szCs w:val="21"/>
                <w:highlight w:val="none"/>
              </w:rPr>
            </w:pPr>
          </w:p>
        </w:tc>
        <w:tc>
          <w:tcPr>
            <w:tcW w:w="936" w:type="dxa"/>
            <w:vAlign w:val="center"/>
          </w:tcPr>
          <w:p>
            <w:pPr>
              <w:pStyle w:val="19"/>
              <w:tabs>
                <w:tab w:val="left" w:pos="6300"/>
              </w:tabs>
              <w:snapToGrid w:val="0"/>
              <w:spacing w:line="440" w:lineRule="exact"/>
              <w:ind w:firstLine="0"/>
              <w:jc w:val="center"/>
              <w:rPr>
                <w:rFonts w:ascii="Times New Roman"/>
                <w:color w:val="auto"/>
                <w:sz w:val="21"/>
                <w:szCs w:val="21"/>
                <w:highlight w:val="none"/>
              </w:rPr>
            </w:pPr>
          </w:p>
        </w:tc>
        <w:tc>
          <w:tcPr>
            <w:tcW w:w="1873" w:type="dxa"/>
            <w:vAlign w:val="center"/>
          </w:tcPr>
          <w:p>
            <w:pPr>
              <w:pStyle w:val="19"/>
              <w:tabs>
                <w:tab w:val="left" w:pos="6300"/>
              </w:tabs>
              <w:snapToGrid w:val="0"/>
              <w:spacing w:line="440" w:lineRule="exact"/>
              <w:ind w:firstLine="0"/>
              <w:jc w:val="center"/>
              <w:rPr>
                <w:rFonts w:ascii="Times New Roman"/>
                <w:color w:val="auto"/>
                <w:sz w:val="21"/>
                <w:szCs w:val="21"/>
                <w:highlight w:val="none"/>
              </w:rPr>
            </w:pPr>
          </w:p>
        </w:tc>
        <w:tc>
          <w:tcPr>
            <w:tcW w:w="1069" w:type="dxa"/>
            <w:vAlign w:val="center"/>
          </w:tcPr>
          <w:p>
            <w:pPr>
              <w:pStyle w:val="19"/>
              <w:tabs>
                <w:tab w:val="left" w:pos="6300"/>
              </w:tabs>
              <w:snapToGrid w:val="0"/>
              <w:spacing w:line="440" w:lineRule="exact"/>
              <w:ind w:firstLine="0"/>
              <w:jc w:val="center"/>
              <w:rPr>
                <w:rFonts w:ascii="Times New Roman"/>
                <w:color w:val="auto"/>
                <w:sz w:val="21"/>
                <w:szCs w:val="21"/>
                <w:highlight w:val="none"/>
              </w:rPr>
            </w:pPr>
          </w:p>
        </w:tc>
        <w:tc>
          <w:tcPr>
            <w:tcW w:w="1202" w:type="dxa"/>
          </w:tcPr>
          <w:p>
            <w:pPr>
              <w:pStyle w:val="19"/>
              <w:tabs>
                <w:tab w:val="left" w:pos="6300"/>
              </w:tabs>
              <w:snapToGrid w:val="0"/>
              <w:spacing w:line="440" w:lineRule="exact"/>
              <w:ind w:firstLine="0"/>
              <w:jc w:val="center"/>
              <w:rPr>
                <w:rFonts w:ascii="Times New Roman"/>
                <w:color w:val="auto"/>
                <w:sz w:val="21"/>
                <w:szCs w:val="21"/>
                <w:highlight w:val="none"/>
              </w:rPr>
            </w:pPr>
          </w:p>
        </w:tc>
        <w:tc>
          <w:tcPr>
            <w:tcW w:w="1472" w:type="dxa"/>
            <w:vAlign w:val="center"/>
          </w:tcPr>
          <w:p>
            <w:pPr>
              <w:pStyle w:val="19"/>
              <w:tabs>
                <w:tab w:val="left" w:pos="6300"/>
              </w:tabs>
              <w:snapToGrid w:val="0"/>
              <w:spacing w:line="440" w:lineRule="exact"/>
              <w:ind w:firstLine="0"/>
              <w:jc w:val="center"/>
              <w:rPr>
                <w:rFonts w:asci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0" w:type="dxa"/>
            <w:vAlign w:val="center"/>
          </w:tcPr>
          <w:p>
            <w:pPr>
              <w:pStyle w:val="19"/>
              <w:tabs>
                <w:tab w:val="left" w:pos="6300"/>
              </w:tabs>
              <w:snapToGrid w:val="0"/>
              <w:spacing w:line="440" w:lineRule="exact"/>
              <w:ind w:firstLine="0"/>
              <w:jc w:val="center"/>
              <w:rPr>
                <w:rFonts w:ascii="Times New Roman"/>
                <w:color w:val="auto"/>
                <w:sz w:val="21"/>
                <w:szCs w:val="21"/>
                <w:highlight w:val="none"/>
              </w:rPr>
            </w:pPr>
          </w:p>
        </w:tc>
        <w:tc>
          <w:tcPr>
            <w:tcW w:w="936" w:type="dxa"/>
            <w:vAlign w:val="center"/>
          </w:tcPr>
          <w:p>
            <w:pPr>
              <w:pStyle w:val="19"/>
              <w:tabs>
                <w:tab w:val="left" w:pos="6300"/>
              </w:tabs>
              <w:snapToGrid w:val="0"/>
              <w:spacing w:line="440" w:lineRule="exact"/>
              <w:ind w:firstLine="0"/>
              <w:jc w:val="center"/>
              <w:rPr>
                <w:rFonts w:ascii="Times New Roman"/>
                <w:color w:val="auto"/>
                <w:sz w:val="21"/>
                <w:szCs w:val="21"/>
                <w:highlight w:val="none"/>
              </w:rPr>
            </w:pPr>
          </w:p>
        </w:tc>
        <w:tc>
          <w:tcPr>
            <w:tcW w:w="936" w:type="dxa"/>
            <w:vAlign w:val="center"/>
          </w:tcPr>
          <w:p>
            <w:pPr>
              <w:pStyle w:val="19"/>
              <w:tabs>
                <w:tab w:val="left" w:pos="6300"/>
              </w:tabs>
              <w:snapToGrid w:val="0"/>
              <w:spacing w:line="440" w:lineRule="exact"/>
              <w:ind w:firstLine="0"/>
              <w:jc w:val="center"/>
              <w:rPr>
                <w:rFonts w:ascii="Times New Roman"/>
                <w:color w:val="auto"/>
                <w:sz w:val="21"/>
                <w:szCs w:val="21"/>
                <w:highlight w:val="none"/>
              </w:rPr>
            </w:pPr>
          </w:p>
        </w:tc>
        <w:tc>
          <w:tcPr>
            <w:tcW w:w="1873" w:type="dxa"/>
            <w:vAlign w:val="center"/>
          </w:tcPr>
          <w:p>
            <w:pPr>
              <w:pStyle w:val="19"/>
              <w:tabs>
                <w:tab w:val="left" w:pos="6300"/>
              </w:tabs>
              <w:snapToGrid w:val="0"/>
              <w:spacing w:line="440" w:lineRule="exact"/>
              <w:ind w:firstLine="0"/>
              <w:jc w:val="center"/>
              <w:rPr>
                <w:rFonts w:ascii="Times New Roman"/>
                <w:color w:val="auto"/>
                <w:sz w:val="21"/>
                <w:szCs w:val="21"/>
                <w:highlight w:val="none"/>
              </w:rPr>
            </w:pPr>
          </w:p>
        </w:tc>
        <w:tc>
          <w:tcPr>
            <w:tcW w:w="1069" w:type="dxa"/>
            <w:vAlign w:val="center"/>
          </w:tcPr>
          <w:p>
            <w:pPr>
              <w:pStyle w:val="19"/>
              <w:tabs>
                <w:tab w:val="left" w:pos="6300"/>
              </w:tabs>
              <w:snapToGrid w:val="0"/>
              <w:spacing w:line="440" w:lineRule="exact"/>
              <w:ind w:firstLine="0"/>
              <w:jc w:val="center"/>
              <w:rPr>
                <w:rFonts w:ascii="Times New Roman"/>
                <w:color w:val="auto"/>
                <w:sz w:val="21"/>
                <w:szCs w:val="21"/>
                <w:highlight w:val="none"/>
              </w:rPr>
            </w:pPr>
          </w:p>
        </w:tc>
        <w:tc>
          <w:tcPr>
            <w:tcW w:w="1202" w:type="dxa"/>
          </w:tcPr>
          <w:p>
            <w:pPr>
              <w:pStyle w:val="19"/>
              <w:tabs>
                <w:tab w:val="left" w:pos="6300"/>
              </w:tabs>
              <w:snapToGrid w:val="0"/>
              <w:spacing w:line="440" w:lineRule="exact"/>
              <w:ind w:firstLine="0"/>
              <w:jc w:val="center"/>
              <w:rPr>
                <w:rFonts w:ascii="Times New Roman"/>
                <w:color w:val="auto"/>
                <w:sz w:val="21"/>
                <w:szCs w:val="21"/>
                <w:highlight w:val="none"/>
              </w:rPr>
            </w:pPr>
          </w:p>
        </w:tc>
        <w:tc>
          <w:tcPr>
            <w:tcW w:w="1472" w:type="dxa"/>
            <w:vAlign w:val="center"/>
          </w:tcPr>
          <w:p>
            <w:pPr>
              <w:pStyle w:val="19"/>
              <w:tabs>
                <w:tab w:val="left" w:pos="6300"/>
              </w:tabs>
              <w:snapToGrid w:val="0"/>
              <w:spacing w:line="440" w:lineRule="exact"/>
              <w:ind w:firstLine="0"/>
              <w:jc w:val="center"/>
              <w:rPr>
                <w:rFonts w:ascii="Times New Roman"/>
                <w:color w:val="auto"/>
                <w:sz w:val="21"/>
                <w:szCs w:val="21"/>
                <w:highlight w:val="none"/>
              </w:rPr>
            </w:pPr>
          </w:p>
        </w:tc>
      </w:tr>
    </w:tbl>
    <w:p>
      <w:pPr>
        <w:pStyle w:val="22"/>
        <w:adjustRightInd w:val="0"/>
        <w:snapToGrid w:val="0"/>
        <w:spacing w:line="440" w:lineRule="exact"/>
        <w:rPr>
          <w:rFonts w:ascii="Times New Roman" w:hAnsi="Times New Roman"/>
          <w:b/>
          <w:color w:val="auto"/>
          <w:sz w:val="21"/>
          <w:szCs w:val="21"/>
          <w:highlight w:val="none"/>
        </w:rPr>
      </w:pPr>
    </w:p>
    <w:p>
      <w:pPr>
        <w:adjustRightInd w:val="0"/>
        <w:snapToGrid w:val="0"/>
        <w:spacing w:line="440" w:lineRule="exact"/>
        <w:jc w:val="center"/>
        <w:rPr>
          <w:b/>
          <w:color w:val="auto"/>
          <w:spacing w:val="40"/>
          <w:szCs w:val="21"/>
          <w:highlight w:val="none"/>
        </w:rPr>
      </w:pPr>
    </w:p>
    <w:p>
      <w:pPr>
        <w:adjustRightInd w:val="0"/>
        <w:snapToGrid w:val="0"/>
        <w:spacing w:line="440" w:lineRule="exact"/>
        <w:rPr>
          <w:color w:val="auto"/>
          <w:szCs w:val="21"/>
          <w:highlight w:val="none"/>
          <w:u w:val="single"/>
        </w:rPr>
      </w:pPr>
      <w:r>
        <w:rPr>
          <w:color w:val="auto"/>
          <w:szCs w:val="21"/>
          <w:highlight w:val="none"/>
        </w:rPr>
        <w:t>评比供应商：</w:t>
      </w:r>
      <w:r>
        <w:rPr>
          <w:color w:val="auto"/>
          <w:szCs w:val="21"/>
          <w:highlight w:val="none"/>
          <w:u w:val="single"/>
        </w:rPr>
        <w:t xml:space="preserve">     （公章）        </w:t>
      </w:r>
    </w:p>
    <w:p>
      <w:pPr>
        <w:adjustRightInd w:val="0"/>
        <w:snapToGrid w:val="0"/>
        <w:spacing w:line="440" w:lineRule="exact"/>
        <w:rPr>
          <w:color w:val="auto"/>
          <w:szCs w:val="21"/>
          <w:highlight w:val="none"/>
          <w:u w:val="single"/>
        </w:rPr>
      </w:pPr>
      <w:r>
        <w:rPr>
          <w:color w:val="auto"/>
          <w:szCs w:val="21"/>
          <w:highlight w:val="none"/>
        </w:rPr>
        <w:t>法定代表人（或法定代表人授权代表）或自然人：</w:t>
      </w:r>
      <w:r>
        <w:rPr>
          <w:color w:val="auto"/>
          <w:szCs w:val="21"/>
          <w:highlight w:val="none"/>
          <w:u w:val="single"/>
        </w:rPr>
        <w:t xml:space="preserve">      （签署或盖章）      </w:t>
      </w:r>
    </w:p>
    <w:p>
      <w:pPr>
        <w:adjustRightInd w:val="0"/>
        <w:snapToGrid w:val="0"/>
        <w:spacing w:line="440" w:lineRule="exact"/>
        <w:rPr>
          <w:color w:val="auto"/>
          <w:szCs w:val="21"/>
          <w:highlight w:val="none"/>
        </w:rPr>
      </w:pPr>
      <w:r>
        <w:rPr>
          <w:color w:val="auto"/>
          <w:szCs w:val="21"/>
          <w:highlight w:val="none"/>
        </w:rPr>
        <w:t>日期：年月日</w:t>
      </w:r>
    </w:p>
    <w:p>
      <w:pPr>
        <w:adjustRightInd w:val="0"/>
        <w:snapToGrid w:val="0"/>
        <w:spacing w:line="360" w:lineRule="auto"/>
        <w:rPr>
          <w:b/>
          <w:color w:val="auto"/>
          <w:spacing w:val="40"/>
          <w:sz w:val="24"/>
          <w:szCs w:val="21"/>
          <w:highlight w:val="none"/>
        </w:rPr>
      </w:pPr>
      <w:bookmarkStart w:id="73" w:name="_Toc330205884"/>
    </w:p>
    <w:p>
      <w:pPr>
        <w:adjustRightInd w:val="0"/>
        <w:snapToGrid w:val="0"/>
        <w:spacing w:line="360" w:lineRule="auto"/>
        <w:rPr>
          <w:b/>
          <w:color w:val="auto"/>
          <w:spacing w:val="40"/>
          <w:sz w:val="24"/>
          <w:szCs w:val="21"/>
          <w:highlight w:val="none"/>
        </w:rPr>
      </w:pPr>
      <w:r>
        <w:rPr>
          <w:b/>
          <w:color w:val="auto"/>
          <w:spacing w:val="40"/>
          <w:sz w:val="24"/>
          <w:szCs w:val="21"/>
          <w:highlight w:val="none"/>
        </w:rPr>
        <w:br w:type="page"/>
      </w:r>
    </w:p>
    <w:bookmarkEnd w:id="73"/>
    <w:p>
      <w:pPr>
        <w:pStyle w:val="3"/>
        <w:rPr>
          <w:rFonts w:ascii="Times New Roman" w:hAnsi="Times New Roman" w:eastAsia="宋体"/>
          <w:color w:val="auto"/>
          <w:sz w:val="32"/>
          <w:highlight w:val="none"/>
        </w:rPr>
      </w:pPr>
      <w:bookmarkStart w:id="74" w:name="_Toc10213460"/>
      <w:r>
        <w:rPr>
          <w:rFonts w:ascii="Times New Roman" w:hAnsi="Times New Roman" w:eastAsia="宋体"/>
          <w:color w:val="auto"/>
          <w:sz w:val="32"/>
          <w:highlight w:val="none"/>
        </w:rPr>
        <w:t>五、资质证明文件</w:t>
      </w:r>
      <w:bookmarkEnd w:id="74"/>
    </w:p>
    <w:p>
      <w:pPr>
        <w:rPr>
          <w:color w:val="auto"/>
          <w:highlight w:val="none"/>
        </w:rPr>
      </w:pPr>
    </w:p>
    <w:p>
      <w:pPr>
        <w:rPr>
          <w:color w:val="auto"/>
          <w:highlight w:val="none"/>
        </w:rPr>
      </w:pPr>
    </w:p>
    <w:p>
      <w:pPr>
        <w:numPr>
          <w:ilvl w:val="0"/>
          <w:numId w:val="22"/>
        </w:numPr>
        <w:tabs>
          <w:tab w:val="left" w:pos="5580"/>
        </w:tabs>
        <w:adjustRightInd w:val="0"/>
        <w:snapToGrid w:val="0"/>
        <w:spacing w:line="480" w:lineRule="exact"/>
        <w:rPr>
          <w:color w:val="auto"/>
          <w:szCs w:val="21"/>
          <w:highlight w:val="none"/>
        </w:rPr>
      </w:pPr>
      <w:r>
        <w:rPr>
          <w:color w:val="auto"/>
          <w:szCs w:val="21"/>
          <w:highlight w:val="none"/>
        </w:rPr>
        <w:t>营业执照（副本）或事业单位法人证书（副本）或个体工商户营业执照或有效的自然人身份证明或社会团体法人登记证书（提供复印件）</w:t>
      </w:r>
    </w:p>
    <w:p>
      <w:pPr>
        <w:pStyle w:val="11"/>
        <w:ind w:firstLine="0" w:firstLineChars="0"/>
        <w:rPr>
          <w:color w:val="auto"/>
          <w:highlight w:val="none"/>
        </w:rPr>
      </w:pPr>
    </w:p>
    <w:p>
      <w:pPr>
        <w:pStyle w:val="11"/>
        <w:ind w:firstLine="0" w:firstLineChars="0"/>
        <w:rPr>
          <w:color w:val="auto"/>
          <w:highlight w:val="none"/>
        </w:rPr>
      </w:pPr>
    </w:p>
    <w:p>
      <w:pPr>
        <w:pStyle w:val="11"/>
        <w:ind w:firstLine="0" w:firstLineChars="0"/>
        <w:rPr>
          <w:color w:val="auto"/>
          <w:highlight w:val="none"/>
        </w:rPr>
      </w:pPr>
    </w:p>
    <w:p>
      <w:pPr>
        <w:ind w:firstLine="0" w:firstLineChars="0"/>
        <w:rPr>
          <w:color w:val="auto"/>
          <w:highlight w:val="none"/>
        </w:rPr>
      </w:pPr>
      <w:r>
        <w:rPr>
          <w:color w:val="auto"/>
          <w:highlight w:val="none"/>
        </w:rPr>
        <w:br w:type="page"/>
      </w:r>
    </w:p>
    <w:p>
      <w:pPr>
        <w:pStyle w:val="11"/>
        <w:ind w:firstLine="0" w:firstLineChars="0"/>
        <w:rPr>
          <w:color w:val="auto"/>
          <w:highlight w:val="none"/>
        </w:rPr>
      </w:pPr>
    </w:p>
    <w:p>
      <w:pPr>
        <w:numPr>
          <w:ilvl w:val="0"/>
          <w:numId w:val="22"/>
        </w:numPr>
        <w:tabs>
          <w:tab w:val="left" w:pos="5580"/>
        </w:tabs>
        <w:adjustRightInd w:val="0"/>
        <w:snapToGrid w:val="0"/>
        <w:spacing w:line="480" w:lineRule="exact"/>
        <w:jc w:val="both"/>
        <w:rPr>
          <w:color w:val="auto"/>
          <w:szCs w:val="21"/>
          <w:highlight w:val="none"/>
        </w:rPr>
      </w:pPr>
      <w:r>
        <w:rPr>
          <w:color w:val="auto"/>
          <w:szCs w:val="21"/>
          <w:highlight w:val="none"/>
        </w:rPr>
        <w:t>法定代表人身份证明书（格式）</w:t>
      </w:r>
    </w:p>
    <w:p>
      <w:pPr>
        <w:pStyle w:val="11"/>
        <w:ind w:firstLine="2730" w:firstLineChars="1300"/>
        <w:rPr>
          <w:color w:val="auto"/>
          <w:szCs w:val="21"/>
          <w:highlight w:val="none"/>
        </w:rPr>
      </w:pPr>
      <w:r>
        <w:rPr>
          <w:color w:val="auto"/>
          <w:szCs w:val="21"/>
          <w:highlight w:val="none"/>
        </w:rPr>
        <w:t>法定代表人身份证明书</w:t>
      </w:r>
    </w:p>
    <w:p>
      <w:pPr>
        <w:pStyle w:val="11"/>
        <w:rPr>
          <w:color w:val="auto"/>
          <w:szCs w:val="21"/>
          <w:highlight w:val="none"/>
        </w:rPr>
      </w:pPr>
    </w:p>
    <w:p>
      <w:pPr>
        <w:tabs>
          <w:tab w:val="left" w:pos="6300"/>
        </w:tabs>
        <w:snapToGrid w:val="0"/>
        <w:spacing w:line="500" w:lineRule="exact"/>
        <w:ind w:firstLine="570"/>
        <w:rPr>
          <w:color w:val="auto"/>
          <w:szCs w:val="21"/>
          <w:highlight w:val="none"/>
        </w:rPr>
      </w:pPr>
      <w:r>
        <w:rPr>
          <w:color w:val="auto"/>
          <w:szCs w:val="21"/>
          <w:highlight w:val="none"/>
        </w:rPr>
        <w:t>项目名称：</w:t>
      </w:r>
      <w:r>
        <w:rPr>
          <w:color w:val="auto"/>
          <w:szCs w:val="21"/>
          <w:highlight w:val="none"/>
          <w:u w:val="single"/>
        </w:rPr>
        <w:t xml:space="preserve">                                                </w:t>
      </w:r>
    </w:p>
    <w:p>
      <w:pPr>
        <w:tabs>
          <w:tab w:val="left" w:pos="6300"/>
        </w:tabs>
        <w:snapToGrid w:val="0"/>
        <w:spacing w:line="500" w:lineRule="exact"/>
        <w:ind w:firstLine="570"/>
        <w:rPr>
          <w:color w:val="auto"/>
          <w:szCs w:val="21"/>
          <w:highlight w:val="none"/>
        </w:rPr>
      </w:pPr>
    </w:p>
    <w:p>
      <w:pPr>
        <w:tabs>
          <w:tab w:val="left" w:pos="6300"/>
        </w:tabs>
        <w:snapToGrid w:val="0"/>
        <w:spacing w:line="500" w:lineRule="exact"/>
        <w:ind w:firstLine="570"/>
        <w:rPr>
          <w:color w:val="auto"/>
          <w:szCs w:val="21"/>
          <w:highlight w:val="none"/>
        </w:rPr>
      </w:pPr>
      <w:r>
        <w:rPr>
          <w:color w:val="auto"/>
          <w:szCs w:val="21"/>
          <w:highlight w:val="none"/>
        </w:rPr>
        <w:t>致：</w:t>
      </w:r>
      <w:r>
        <w:rPr>
          <w:color w:val="auto"/>
          <w:szCs w:val="21"/>
          <w:highlight w:val="none"/>
          <w:u w:val="single"/>
        </w:rPr>
        <w:t xml:space="preserve">                     </w:t>
      </w:r>
      <w:r>
        <w:rPr>
          <w:color w:val="auto"/>
          <w:szCs w:val="21"/>
          <w:highlight w:val="none"/>
        </w:rPr>
        <w:t>（采购代理机构名称）：</w:t>
      </w:r>
    </w:p>
    <w:p>
      <w:pPr>
        <w:tabs>
          <w:tab w:val="left" w:pos="6300"/>
        </w:tabs>
        <w:snapToGrid w:val="0"/>
        <w:spacing w:line="500" w:lineRule="exact"/>
        <w:ind w:firstLine="570"/>
        <w:rPr>
          <w:color w:val="auto"/>
          <w:szCs w:val="21"/>
          <w:highlight w:val="none"/>
        </w:rPr>
      </w:pPr>
      <w:r>
        <w:rPr>
          <w:color w:val="auto"/>
          <w:szCs w:val="21"/>
          <w:highlight w:val="none"/>
          <w:u w:val="single"/>
        </w:rPr>
        <w:t xml:space="preserve">         </w:t>
      </w:r>
      <w:r>
        <w:rPr>
          <w:color w:val="auto"/>
          <w:szCs w:val="21"/>
          <w:highlight w:val="none"/>
        </w:rPr>
        <w:t>（法定代表人姓名）在</w:t>
      </w:r>
      <w:r>
        <w:rPr>
          <w:color w:val="auto"/>
          <w:szCs w:val="21"/>
          <w:highlight w:val="none"/>
          <w:u w:val="single"/>
        </w:rPr>
        <w:t xml:space="preserve">                       </w:t>
      </w:r>
      <w:r>
        <w:rPr>
          <w:color w:val="auto"/>
          <w:szCs w:val="21"/>
          <w:highlight w:val="none"/>
        </w:rPr>
        <w:t>（供应商名称）任</w:t>
      </w:r>
      <w:r>
        <w:rPr>
          <w:color w:val="auto"/>
          <w:szCs w:val="21"/>
          <w:highlight w:val="none"/>
          <w:u w:val="single"/>
        </w:rPr>
        <w:t xml:space="preserve">      </w:t>
      </w:r>
      <w:r>
        <w:rPr>
          <w:color w:val="auto"/>
          <w:szCs w:val="21"/>
          <w:highlight w:val="none"/>
        </w:rPr>
        <w:t>（职务名称）职务，是（供应商名称）</w:t>
      </w:r>
      <w:r>
        <w:rPr>
          <w:color w:val="auto"/>
          <w:szCs w:val="21"/>
          <w:highlight w:val="none"/>
          <w:u w:val="single"/>
        </w:rPr>
        <w:t xml:space="preserve">              </w:t>
      </w:r>
      <w:r>
        <w:rPr>
          <w:color w:val="auto"/>
          <w:szCs w:val="21"/>
          <w:highlight w:val="none"/>
        </w:rPr>
        <w:t>的法定代表人。</w:t>
      </w:r>
    </w:p>
    <w:p>
      <w:pPr>
        <w:tabs>
          <w:tab w:val="left" w:pos="6300"/>
        </w:tabs>
        <w:snapToGrid w:val="0"/>
        <w:spacing w:line="500" w:lineRule="exact"/>
        <w:ind w:firstLine="570"/>
        <w:rPr>
          <w:color w:val="auto"/>
          <w:szCs w:val="21"/>
          <w:highlight w:val="none"/>
        </w:rPr>
      </w:pPr>
    </w:p>
    <w:p>
      <w:pPr>
        <w:tabs>
          <w:tab w:val="left" w:pos="6300"/>
        </w:tabs>
        <w:snapToGrid w:val="0"/>
        <w:spacing w:line="500" w:lineRule="exact"/>
        <w:ind w:firstLine="570"/>
        <w:rPr>
          <w:color w:val="auto"/>
          <w:szCs w:val="21"/>
          <w:highlight w:val="none"/>
        </w:rPr>
      </w:pPr>
      <w:r>
        <w:rPr>
          <w:color w:val="auto"/>
          <w:szCs w:val="21"/>
          <w:highlight w:val="none"/>
        </w:rPr>
        <w:t>特此证明。</w:t>
      </w:r>
    </w:p>
    <w:p>
      <w:pPr>
        <w:tabs>
          <w:tab w:val="left" w:pos="6300"/>
        </w:tabs>
        <w:snapToGrid w:val="0"/>
        <w:spacing w:line="500" w:lineRule="exact"/>
        <w:ind w:firstLine="570"/>
        <w:rPr>
          <w:color w:val="auto"/>
          <w:szCs w:val="21"/>
          <w:highlight w:val="none"/>
        </w:rPr>
      </w:pPr>
    </w:p>
    <w:p>
      <w:pPr>
        <w:tabs>
          <w:tab w:val="left" w:pos="6300"/>
        </w:tabs>
        <w:snapToGrid w:val="0"/>
        <w:spacing w:line="500" w:lineRule="exact"/>
        <w:ind w:firstLine="570"/>
        <w:rPr>
          <w:color w:val="auto"/>
          <w:szCs w:val="21"/>
          <w:highlight w:val="none"/>
        </w:rPr>
      </w:pPr>
    </w:p>
    <w:p>
      <w:pPr>
        <w:tabs>
          <w:tab w:val="left" w:pos="6300"/>
        </w:tabs>
        <w:snapToGrid w:val="0"/>
        <w:spacing w:line="500" w:lineRule="exact"/>
        <w:ind w:firstLine="570"/>
        <w:rPr>
          <w:color w:val="auto"/>
          <w:szCs w:val="21"/>
          <w:highlight w:val="none"/>
        </w:rPr>
      </w:pPr>
    </w:p>
    <w:p>
      <w:pPr>
        <w:tabs>
          <w:tab w:val="left" w:pos="6300"/>
        </w:tabs>
        <w:snapToGrid w:val="0"/>
        <w:spacing w:line="500" w:lineRule="exact"/>
        <w:ind w:firstLine="570"/>
        <w:rPr>
          <w:color w:val="auto"/>
          <w:szCs w:val="21"/>
          <w:highlight w:val="none"/>
        </w:rPr>
      </w:pPr>
      <w:r>
        <w:rPr>
          <w:color w:val="auto"/>
          <w:szCs w:val="21"/>
          <w:highlight w:val="none"/>
        </w:rPr>
        <w:t xml:space="preserve">                                             （供应商公章）</w:t>
      </w:r>
    </w:p>
    <w:p>
      <w:pPr>
        <w:tabs>
          <w:tab w:val="left" w:pos="6300"/>
        </w:tabs>
        <w:snapToGrid w:val="0"/>
        <w:spacing w:line="500" w:lineRule="exact"/>
        <w:ind w:firstLine="570"/>
        <w:rPr>
          <w:color w:val="auto"/>
          <w:szCs w:val="21"/>
          <w:highlight w:val="none"/>
        </w:rPr>
      </w:pPr>
    </w:p>
    <w:p>
      <w:pPr>
        <w:tabs>
          <w:tab w:val="left" w:pos="6300"/>
        </w:tabs>
        <w:snapToGrid w:val="0"/>
        <w:spacing w:line="500" w:lineRule="exact"/>
        <w:ind w:firstLine="570"/>
        <w:rPr>
          <w:color w:val="auto"/>
          <w:szCs w:val="21"/>
          <w:highlight w:val="none"/>
        </w:rPr>
      </w:pPr>
      <w:r>
        <w:rPr>
          <w:color w:val="auto"/>
          <w:szCs w:val="21"/>
          <w:highlight w:val="none"/>
        </w:rPr>
        <w:t xml:space="preserve">                                             年   月   日</w:t>
      </w:r>
    </w:p>
    <w:p>
      <w:pPr>
        <w:tabs>
          <w:tab w:val="left" w:pos="6300"/>
        </w:tabs>
        <w:snapToGrid w:val="0"/>
        <w:spacing w:line="500" w:lineRule="exact"/>
        <w:ind w:firstLine="570"/>
        <w:rPr>
          <w:color w:val="auto"/>
          <w:szCs w:val="21"/>
          <w:highlight w:val="none"/>
        </w:rPr>
      </w:pPr>
    </w:p>
    <w:p>
      <w:pPr>
        <w:tabs>
          <w:tab w:val="left" w:pos="6300"/>
        </w:tabs>
        <w:snapToGrid w:val="0"/>
        <w:spacing w:line="500" w:lineRule="exact"/>
        <w:ind w:firstLine="570"/>
        <w:rPr>
          <w:color w:val="auto"/>
          <w:szCs w:val="21"/>
          <w:highlight w:val="none"/>
        </w:rPr>
      </w:pPr>
    </w:p>
    <w:p>
      <w:pPr>
        <w:tabs>
          <w:tab w:val="left" w:pos="6300"/>
        </w:tabs>
        <w:snapToGrid w:val="0"/>
        <w:spacing w:line="500" w:lineRule="exact"/>
        <w:ind w:firstLine="570"/>
        <w:rPr>
          <w:color w:val="auto"/>
          <w:szCs w:val="21"/>
          <w:highlight w:val="none"/>
        </w:rPr>
      </w:pPr>
      <w:r>
        <w:rPr>
          <w:color w:val="auto"/>
          <w:szCs w:val="21"/>
          <w:highlight w:val="none"/>
        </w:rPr>
        <w:t>法定代表人电话：XXXXXXX      电子邮箱：XXXXXX@XXXXX（若授权他人办理并签署响应文件的可不填写）</w:t>
      </w:r>
    </w:p>
    <w:p>
      <w:pPr>
        <w:tabs>
          <w:tab w:val="left" w:pos="6300"/>
        </w:tabs>
        <w:snapToGrid w:val="0"/>
        <w:spacing w:line="500" w:lineRule="exact"/>
        <w:ind w:firstLine="570"/>
        <w:rPr>
          <w:color w:val="auto"/>
          <w:szCs w:val="21"/>
          <w:highlight w:val="none"/>
        </w:rPr>
      </w:pPr>
      <w:r>
        <w:rPr>
          <w:color w:val="auto"/>
          <w:szCs w:val="21"/>
          <w:highlight w:val="none"/>
        </w:rPr>
        <w:t>（附：法定代表人身份证正反面复印件）</w:t>
      </w:r>
    </w:p>
    <w:p>
      <w:pPr>
        <w:pStyle w:val="11"/>
        <w:rPr>
          <w:color w:val="auto"/>
          <w:szCs w:val="21"/>
          <w:highlight w:val="none"/>
        </w:rPr>
      </w:pPr>
    </w:p>
    <w:p>
      <w:pPr>
        <w:pStyle w:val="11"/>
        <w:rPr>
          <w:color w:val="auto"/>
          <w:szCs w:val="21"/>
          <w:highlight w:val="none"/>
        </w:rPr>
      </w:pPr>
    </w:p>
    <w:p>
      <w:pPr>
        <w:pStyle w:val="11"/>
        <w:rPr>
          <w:color w:val="auto"/>
          <w:szCs w:val="21"/>
          <w:highlight w:val="none"/>
        </w:rPr>
      </w:pPr>
    </w:p>
    <w:p>
      <w:pPr>
        <w:pStyle w:val="11"/>
        <w:rPr>
          <w:color w:val="auto"/>
          <w:szCs w:val="21"/>
          <w:highlight w:val="none"/>
        </w:rPr>
      </w:pPr>
    </w:p>
    <w:p>
      <w:pPr>
        <w:pStyle w:val="11"/>
        <w:rPr>
          <w:color w:val="auto"/>
          <w:szCs w:val="21"/>
          <w:highlight w:val="none"/>
        </w:rPr>
      </w:pPr>
    </w:p>
    <w:p>
      <w:pPr>
        <w:pStyle w:val="11"/>
        <w:rPr>
          <w:color w:val="auto"/>
          <w:szCs w:val="21"/>
          <w:highlight w:val="none"/>
        </w:rPr>
      </w:pPr>
    </w:p>
    <w:p>
      <w:pPr>
        <w:pStyle w:val="11"/>
        <w:rPr>
          <w:color w:val="auto"/>
          <w:szCs w:val="21"/>
          <w:highlight w:val="none"/>
        </w:rPr>
      </w:pPr>
    </w:p>
    <w:p>
      <w:pPr>
        <w:pStyle w:val="11"/>
        <w:rPr>
          <w:color w:val="auto"/>
          <w:szCs w:val="21"/>
          <w:highlight w:val="none"/>
        </w:rPr>
      </w:pPr>
    </w:p>
    <w:p>
      <w:pPr>
        <w:pStyle w:val="11"/>
        <w:rPr>
          <w:color w:val="auto"/>
          <w:szCs w:val="21"/>
          <w:highlight w:val="none"/>
        </w:rPr>
      </w:pPr>
    </w:p>
    <w:p>
      <w:pPr>
        <w:pStyle w:val="11"/>
        <w:rPr>
          <w:color w:val="auto"/>
          <w:szCs w:val="21"/>
          <w:highlight w:val="none"/>
        </w:rPr>
      </w:pPr>
    </w:p>
    <w:p>
      <w:pPr>
        <w:pStyle w:val="11"/>
        <w:rPr>
          <w:color w:val="auto"/>
          <w:szCs w:val="21"/>
          <w:highlight w:val="none"/>
        </w:rPr>
      </w:pPr>
    </w:p>
    <w:p>
      <w:pPr>
        <w:pStyle w:val="11"/>
        <w:rPr>
          <w:color w:val="auto"/>
          <w:szCs w:val="21"/>
          <w:highlight w:val="none"/>
        </w:rPr>
      </w:pPr>
    </w:p>
    <w:p>
      <w:pPr>
        <w:pStyle w:val="11"/>
        <w:rPr>
          <w:color w:val="auto"/>
          <w:szCs w:val="21"/>
          <w:highlight w:val="none"/>
        </w:rPr>
      </w:pPr>
    </w:p>
    <w:p>
      <w:pPr>
        <w:pStyle w:val="11"/>
        <w:rPr>
          <w:color w:val="auto"/>
          <w:szCs w:val="21"/>
          <w:highlight w:val="none"/>
        </w:rPr>
      </w:pPr>
    </w:p>
    <w:p>
      <w:pPr>
        <w:numPr>
          <w:ilvl w:val="0"/>
          <w:numId w:val="22"/>
        </w:numPr>
        <w:tabs>
          <w:tab w:val="left" w:pos="6300"/>
        </w:tabs>
        <w:snapToGrid w:val="0"/>
        <w:spacing w:line="500" w:lineRule="exact"/>
        <w:rPr>
          <w:color w:val="auto"/>
          <w:szCs w:val="21"/>
          <w:highlight w:val="none"/>
        </w:rPr>
      </w:pPr>
      <w:r>
        <w:rPr>
          <w:color w:val="auto"/>
          <w:szCs w:val="21"/>
          <w:highlight w:val="none"/>
        </w:rPr>
        <w:t>法定代表人授权委托书（格式）</w:t>
      </w:r>
    </w:p>
    <w:p>
      <w:pPr>
        <w:tabs>
          <w:tab w:val="left" w:pos="6300"/>
        </w:tabs>
        <w:snapToGrid w:val="0"/>
        <w:spacing w:line="500" w:lineRule="exact"/>
        <w:ind w:firstLine="3927" w:firstLineChars="1870"/>
        <w:rPr>
          <w:color w:val="auto"/>
          <w:szCs w:val="21"/>
          <w:highlight w:val="none"/>
        </w:rPr>
      </w:pPr>
      <w:r>
        <w:rPr>
          <w:color w:val="auto"/>
          <w:szCs w:val="21"/>
          <w:highlight w:val="none"/>
        </w:rPr>
        <w:t>法定代表人授权委托书</w:t>
      </w:r>
    </w:p>
    <w:p>
      <w:pPr>
        <w:tabs>
          <w:tab w:val="left" w:pos="6300"/>
        </w:tabs>
        <w:snapToGrid w:val="0"/>
        <w:spacing w:line="500" w:lineRule="exact"/>
        <w:ind w:firstLine="570"/>
        <w:rPr>
          <w:color w:val="auto"/>
          <w:szCs w:val="21"/>
          <w:highlight w:val="none"/>
        </w:rPr>
      </w:pPr>
      <w:r>
        <w:rPr>
          <w:color w:val="auto"/>
          <w:szCs w:val="21"/>
          <w:highlight w:val="none"/>
        </w:rPr>
        <w:t xml:space="preserve">    </w:t>
      </w:r>
    </w:p>
    <w:p>
      <w:pPr>
        <w:tabs>
          <w:tab w:val="left" w:pos="6300"/>
        </w:tabs>
        <w:snapToGrid w:val="0"/>
        <w:spacing w:line="500" w:lineRule="exact"/>
        <w:ind w:firstLine="420" w:firstLineChars="200"/>
        <w:rPr>
          <w:color w:val="auto"/>
          <w:szCs w:val="21"/>
          <w:highlight w:val="none"/>
        </w:rPr>
      </w:pPr>
      <w:r>
        <w:rPr>
          <w:color w:val="auto"/>
          <w:szCs w:val="21"/>
          <w:highlight w:val="none"/>
        </w:rPr>
        <w:t>项目名称：</w:t>
      </w:r>
      <w:r>
        <w:rPr>
          <w:color w:val="auto"/>
          <w:szCs w:val="21"/>
          <w:highlight w:val="none"/>
          <w:u w:val="single"/>
        </w:rPr>
        <w:t xml:space="preserve">                                                </w:t>
      </w:r>
    </w:p>
    <w:p>
      <w:pPr>
        <w:tabs>
          <w:tab w:val="left" w:pos="6300"/>
        </w:tabs>
        <w:snapToGrid w:val="0"/>
        <w:spacing w:line="500" w:lineRule="exact"/>
        <w:ind w:firstLine="570"/>
        <w:rPr>
          <w:color w:val="auto"/>
          <w:szCs w:val="21"/>
          <w:highlight w:val="none"/>
        </w:rPr>
      </w:pPr>
    </w:p>
    <w:p>
      <w:pPr>
        <w:tabs>
          <w:tab w:val="left" w:pos="6300"/>
        </w:tabs>
        <w:snapToGrid w:val="0"/>
        <w:spacing w:line="500" w:lineRule="exact"/>
        <w:ind w:firstLine="420" w:firstLineChars="200"/>
        <w:rPr>
          <w:color w:val="auto"/>
          <w:szCs w:val="21"/>
          <w:highlight w:val="none"/>
        </w:rPr>
      </w:pPr>
      <w:r>
        <w:rPr>
          <w:color w:val="auto"/>
          <w:szCs w:val="21"/>
          <w:highlight w:val="none"/>
        </w:rPr>
        <w:t>致：</w:t>
      </w:r>
      <w:r>
        <w:rPr>
          <w:color w:val="auto"/>
          <w:szCs w:val="21"/>
          <w:highlight w:val="none"/>
          <w:u w:val="single"/>
        </w:rPr>
        <w:t xml:space="preserve">                     </w:t>
      </w:r>
      <w:r>
        <w:rPr>
          <w:color w:val="auto"/>
          <w:szCs w:val="21"/>
          <w:highlight w:val="none"/>
        </w:rPr>
        <w:t>（采购代理机构名称）：</w:t>
      </w:r>
    </w:p>
    <w:p>
      <w:pPr>
        <w:tabs>
          <w:tab w:val="left" w:pos="6300"/>
        </w:tabs>
        <w:snapToGrid w:val="0"/>
        <w:spacing w:line="500" w:lineRule="exact"/>
        <w:ind w:firstLine="420" w:firstLineChars="200"/>
        <w:rPr>
          <w:color w:val="auto"/>
          <w:szCs w:val="21"/>
          <w:highlight w:val="none"/>
        </w:rPr>
      </w:pPr>
      <w:r>
        <w:rPr>
          <w:color w:val="auto"/>
          <w:szCs w:val="21"/>
          <w:highlight w:val="none"/>
          <w:u w:val="single"/>
        </w:rPr>
        <w:t xml:space="preserve">            </w:t>
      </w:r>
      <w:r>
        <w:rPr>
          <w:color w:val="auto"/>
          <w:szCs w:val="21"/>
          <w:highlight w:val="none"/>
        </w:rPr>
        <w:t>（供应商法定代表人名称）是</w:t>
      </w:r>
      <w:r>
        <w:rPr>
          <w:color w:val="auto"/>
          <w:szCs w:val="21"/>
          <w:highlight w:val="none"/>
          <w:u w:val="single"/>
        </w:rPr>
        <w:t xml:space="preserve">                    </w:t>
      </w:r>
      <w:r>
        <w:rPr>
          <w:color w:val="auto"/>
          <w:szCs w:val="21"/>
          <w:highlight w:val="none"/>
        </w:rPr>
        <w:t>（供应商名称）的法定代表人，特授权</w:t>
      </w:r>
      <w:r>
        <w:rPr>
          <w:color w:val="auto"/>
          <w:szCs w:val="21"/>
          <w:highlight w:val="none"/>
          <w:u w:val="single"/>
        </w:rPr>
        <w:t xml:space="preserve">          </w:t>
      </w:r>
      <w:r>
        <w:rPr>
          <w:color w:val="auto"/>
          <w:szCs w:val="21"/>
          <w:highlight w:val="none"/>
        </w:rPr>
        <w:t>（被授权人姓名及身份证代码）代表我单位全权办理上述项目的评比、谈判、签约等具体工作，并签署全部有关文件、协议及合同。</w:t>
      </w:r>
    </w:p>
    <w:p>
      <w:pPr>
        <w:tabs>
          <w:tab w:val="left" w:pos="6300"/>
        </w:tabs>
        <w:snapToGrid w:val="0"/>
        <w:spacing w:line="500" w:lineRule="exact"/>
        <w:ind w:firstLine="420" w:firstLineChars="200"/>
        <w:rPr>
          <w:color w:val="auto"/>
          <w:szCs w:val="21"/>
          <w:highlight w:val="none"/>
        </w:rPr>
      </w:pPr>
      <w:r>
        <w:rPr>
          <w:color w:val="auto"/>
          <w:szCs w:val="21"/>
          <w:highlight w:val="none"/>
        </w:rPr>
        <w:t>我单位对被授权人的签字负全部责任。</w:t>
      </w:r>
    </w:p>
    <w:p>
      <w:pPr>
        <w:tabs>
          <w:tab w:val="left" w:pos="6300"/>
        </w:tabs>
        <w:snapToGrid w:val="0"/>
        <w:spacing w:line="500" w:lineRule="exact"/>
        <w:ind w:firstLine="420" w:firstLineChars="200"/>
        <w:rPr>
          <w:color w:val="auto"/>
          <w:szCs w:val="21"/>
          <w:highlight w:val="none"/>
        </w:rPr>
      </w:pPr>
      <w:r>
        <w:rPr>
          <w:color w:val="auto"/>
          <w:szCs w:val="21"/>
          <w:highlight w:val="none"/>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color w:val="auto"/>
          <w:szCs w:val="21"/>
          <w:highlight w:val="none"/>
        </w:rPr>
      </w:pPr>
    </w:p>
    <w:p>
      <w:pPr>
        <w:tabs>
          <w:tab w:val="left" w:pos="6300"/>
        </w:tabs>
        <w:snapToGrid w:val="0"/>
        <w:spacing w:line="500" w:lineRule="exact"/>
        <w:ind w:firstLine="570"/>
        <w:rPr>
          <w:color w:val="auto"/>
          <w:szCs w:val="21"/>
          <w:highlight w:val="none"/>
        </w:rPr>
      </w:pPr>
      <w:r>
        <w:rPr>
          <w:color w:val="auto"/>
          <w:szCs w:val="21"/>
          <w:highlight w:val="none"/>
        </w:rPr>
        <w:t>被授权人：                                 供应商法定代表人：</w:t>
      </w:r>
    </w:p>
    <w:p>
      <w:pPr>
        <w:tabs>
          <w:tab w:val="left" w:pos="6300"/>
        </w:tabs>
        <w:snapToGrid w:val="0"/>
        <w:spacing w:line="500" w:lineRule="exact"/>
        <w:ind w:firstLine="570"/>
        <w:rPr>
          <w:color w:val="auto"/>
          <w:szCs w:val="21"/>
          <w:highlight w:val="none"/>
        </w:rPr>
      </w:pPr>
      <w:r>
        <w:rPr>
          <w:color w:val="auto"/>
          <w:szCs w:val="21"/>
          <w:highlight w:val="none"/>
        </w:rPr>
        <w:t>（签署或盖章）                                （签署或盖章）</w:t>
      </w:r>
    </w:p>
    <w:p>
      <w:pPr>
        <w:tabs>
          <w:tab w:val="left" w:pos="6300"/>
        </w:tabs>
        <w:snapToGrid w:val="0"/>
        <w:spacing w:line="500" w:lineRule="exact"/>
        <w:ind w:firstLine="570"/>
        <w:rPr>
          <w:color w:val="auto"/>
          <w:szCs w:val="21"/>
          <w:highlight w:val="none"/>
        </w:rPr>
      </w:pPr>
    </w:p>
    <w:p>
      <w:pPr>
        <w:tabs>
          <w:tab w:val="left" w:pos="6300"/>
        </w:tabs>
        <w:snapToGrid w:val="0"/>
        <w:spacing w:line="500" w:lineRule="exact"/>
        <w:ind w:firstLine="570"/>
        <w:rPr>
          <w:color w:val="auto"/>
          <w:szCs w:val="21"/>
          <w:highlight w:val="none"/>
        </w:rPr>
      </w:pPr>
      <w:r>
        <w:rPr>
          <w:color w:val="auto"/>
          <w:szCs w:val="21"/>
          <w:highlight w:val="none"/>
        </w:rPr>
        <w:t>（附：被授权人身份证正反面复印件）</w:t>
      </w:r>
    </w:p>
    <w:p>
      <w:pPr>
        <w:tabs>
          <w:tab w:val="left" w:pos="6300"/>
        </w:tabs>
        <w:snapToGrid w:val="0"/>
        <w:spacing w:line="500" w:lineRule="exact"/>
        <w:ind w:firstLine="570"/>
        <w:rPr>
          <w:color w:val="auto"/>
          <w:szCs w:val="21"/>
          <w:highlight w:val="none"/>
        </w:rPr>
      </w:pPr>
      <w:r>
        <w:rPr>
          <w:color w:val="auto"/>
          <w:szCs w:val="21"/>
          <w:highlight w:val="none"/>
        </w:rPr>
        <w:t xml:space="preserve">                                          </w:t>
      </w:r>
    </w:p>
    <w:p>
      <w:pPr>
        <w:tabs>
          <w:tab w:val="left" w:pos="6300"/>
        </w:tabs>
        <w:snapToGrid w:val="0"/>
        <w:spacing w:line="500" w:lineRule="exact"/>
        <w:ind w:firstLine="570"/>
        <w:rPr>
          <w:color w:val="auto"/>
          <w:szCs w:val="21"/>
          <w:highlight w:val="none"/>
        </w:rPr>
      </w:pPr>
    </w:p>
    <w:p>
      <w:pPr>
        <w:tabs>
          <w:tab w:val="left" w:pos="6300"/>
        </w:tabs>
        <w:snapToGrid w:val="0"/>
        <w:spacing w:line="500" w:lineRule="exact"/>
        <w:ind w:right="480" w:firstLine="570"/>
        <w:jc w:val="right"/>
        <w:rPr>
          <w:color w:val="auto"/>
          <w:szCs w:val="21"/>
          <w:highlight w:val="none"/>
        </w:rPr>
      </w:pPr>
      <w:r>
        <w:rPr>
          <w:color w:val="auto"/>
          <w:szCs w:val="21"/>
          <w:highlight w:val="none"/>
        </w:rPr>
        <w:t>（供应商公章）</w:t>
      </w:r>
    </w:p>
    <w:p>
      <w:pPr>
        <w:tabs>
          <w:tab w:val="left" w:pos="6300"/>
        </w:tabs>
        <w:snapToGrid w:val="0"/>
        <w:spacing w:line="500" w:lineRule="exact"/>
        <w:ind w:right="480" w:firstLine="570"/>
        <w:jc w:val="right"/>
        <w:rPr>
          <w:color w:val="auto"/>
          <w:szCs w:val="21"/>
          <w:highlight w:val="none"/>
        </w:rPr>
      </w:pPr>
      <w:r>
        <w:rPr>
          <w:color w:val="auto"/>
          <w:szCs w:val="21"/>
          <w:highlight w:val="none"/>
        </w:rPr>
        <w:t>年   月   日</w:t>
      </w:r>
    </w:p>
    <w:p>
      <w:pPr>
        <w:tabs>
          <w:tab w:val="left" w:pos="6300"/>
        </w:tabs>
        <w:snapToGrid w:val="0"/>
        <w:spacing w:line="500" w:lineRule="exact"/>
        <w:ind w:right="480" w:firstLine="570"/>
        <w:jc w:val="right"/>
        <w:rPr>
          <w:color w:val="auto"/>
          <w:szCs w:val="21"/>
          <w:highlight w:val="none"/>
        </w:rPr>
      </w:pPr>
    </w:p>
    <w:p>
      <w:pPr>
        <w:tabs>
          <w:tab w:val="left" w:pos="6300"/>
        </w:tabs>
        <w:snapToGrid w:val="0"/>
        <w:spacing w:line="500" w:lineRule="exact"/>
        <w:ind w:firstLine="570"/>
        <w:rPr>
          <w:color w:val="auto"/>
          <w:szCs w:val="21"/>
          <w:highlight w:val="none"/>
        </w:rPr>
      </w:pPr>
      <w:r>
        <w:rPr>
          <w:color w:val="auto"/>
          <w:szCs w:val="21"/>
          <w:highlight w:val="none"/>
        </w:rPr>
        <w:t>被授权人电话：XXXXXXX     电子邮箱：XXXXXX@XXXXX（若法定代表人办理并签署评比文件的可不填写）</w:t>
      </w:r>
    </w:p>
    <w:p>
      <w:pPr>
        <w:tabs>
          <w:tab w:val="left" w:pos="6300"/>
        </w:tabs>
        <w:snapToGrid w:val="0"/>
        <w:spacing w:line="500" w:lineRule="exact"/>
        <w:ind w:right="480" w:firstLine="570"/>
        <w:rPr>
          <w:color w:val="auto"/>
          <w:szCs w:val="21"/>
          <w:highlight w:val="none"/>
        </w:rPr>
      </w:pPr>
      <w:r>
        <w:rPr>
          <w:color w:val="auto"/>
          <w:szCs w:val="21"/>
          <w:highlight w:val="none"/>
        </w:rPr>
        <w:t>注：1.若为法定代表人办理并签署响应文件的，不提供此文件。</w:t>
      </w:r>
    </w:p>
    <w:p>
      <w:pPr>
        <w:pStyle w:val="11"/>
        <w:rPr>
          <w:color w:val="auto"/>
          <w:highlight w:val="none"/>
        </w:rPr>
      </w:pPr>
    </w:p>
    <w:p>
      <w:pPr>
        <w:pStyle w:val="11"/>
        <w:rPr>
          <w:color w:val="auto"/>
          <w:highlight w:val="none"/>
        </w:rPr>
      </w:pPr>
    </w:p>
    <w:p>
      <w:pPr>
        <w:pStyle w:val="11"/>
        <w:rPr>
          <w:color w:val="auto"/>
          <w:highlight w:val="none"/>
        </w:rPr>
      </w:pPr>
    </w:p>
    <w:p>
      <w:pPr>
        <w:pStyle w:val="11"/>
        <w:rPr>
          <w:color w:val="auto"/>
          <w:highlight w:val="none"/>
        </w:rPr>
      </w:pPr>
    </w:p>
    <w:p>
      <w:pPr>
        <w:pStyle w:val="11"/>
        <w:rPr>
          <w:color w:val="auto"/>
          <w:highlight w:val="none"/>
        </w:rPr>
      </w:pPr>
    </w:p>
    <w:p>
      <w:pPr>
        <w:pStyle w:val="11"/>
        <w:rPr>
          <w:color w:val="auto"/>
          <w:highlight w:val="none"/>
        </w:rPr>
      </w:pP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基本资格条件承诺函（格式）</w:t>
      </w:r>
    </w:p>
    <w:p>
      <w:pPr>
        <w:tabs>
          <w:tab w:val="left" w:pos="6300"/>
        </w:tabs>
        <w:snapToGrid w:val="0"/>
        <w:spacing w:line="500" w:lineRule="exact"/>
        <w:ind w:right="480" w:firstLine="570"/>
        <w:jc w:val="center"/>
        <w:rPr>
          <w:rFonts w:hint="eastAsia" w:ascii="宋体" w:hAnsi="宋体" w:eastAsia="宋体" w:cs="宋体"/>
          <w:color w:val="auto"/>
          <w:sz w:val="21"/>
          <w:szCs w:val="21"/>
          <w:highlight w:val="none"/>
        </w:rPr>
      </w:pPr>
    </w:p>
    <w:p>
      <w:pPr>
        <w:tabs>
          <w:tab w:val="left" w:pos="6300"/>
        </w:tabs>
        <w:snapToGrid w:val="0"/>
        <w:spacing w:line="500" w:lineRule="exact"/>
        <w:ind w:right="480" w:firstLine="57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基本资格条件承诺函</w:t>
      </w:r>
    </w:p>
    <w:p>
      <w:pPr>
        <w:tabs>
          <w:tab w:val="left" w:pos="6300"/>
        </w:tabs>
        <w:snapToGrid w:val="0"/>
        <w:spacing w:line="500" w:lineRule="exact"/>
        <w:ind w:right="480" w:firstLine="570"/>
        <w:jc w:val="left"/>
        <w:rPr>
          <w:rFonts w:hint="eastAsia" w:ascii="宋体" w:hAnsi="宋体" w:eastAsia="宋体" w:cs="宋体"/>
          <w:color w:val="auto"/>
          <w:sz w:val="21"/>
          <w:szCs w:val="21"/>
          <w:highlight w:val="none"/>
        </w:rPr>
      </w:pPr>
    </w:p>
    <w:p>
      <w:pPr>
        <w:tabs>
          <w:tab w:val="left" w:pos="6300"/>
        </w:tabs>
        <w:snapToGrid w:val="0"/>
        <w:spacing w:line="500" w:lineRule="exact"/>
        <w:ind w:right="480" w:firstLine="57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致 </w:t>
      </w:r>
      <w:r>
        <w:rPr>
          <w:rFonts w:hint="eastAsia" w:ascii="宋体" w:hAnsi="宋体" w:eastAsia="宋体" w:cs="宋体"/>
          <w:color w:val="auto"/>
          <w:sz w:val="21"/>
          <w:szCs w:val="21"/>
          <w:highlight w:val="none"/>
          <w:u w:val="single"/>
        </w:rPr>
        <w:t xml:space="preserve">                  （采购代理机构名称）</w:t>
      </w:r>
      <w:r>
        <w:rPr>
          <w:rFonts w:hint="eastAsia" w:ascii="宋体" w:hAnsi="宋体" w:eastAsia="宋体" w:cs="宋体"/>
          <w:color w:val="auto"/>
          <w:sz w:val="21"/>
          <w:szCs w:val="21"/>
          <w:highlight w:val="none"/>
        </w:rPr>
        <w:t>：</w:t>
      </w:r>
    </w:p>
    <w:p>
      <w:pPr>
        <w:tabs>
          <w:tab w:val="left" w:pos="6300"/>
        </w:tabs>
        <w:snapToGrid w:val="0"/>
        <w:spacing w:line="500" w:lineRule="exact"/>
        <w:ind w:right="480" w:firstLine="57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（投标人名称）郑重承诺</w:t>
      </w:r>
      <w:r>
        <w:rPr>
          <w:rFonts w:hint="eastAsia" w:ascii="宋体" w:hAnsi="宋体" w:eastAsia="宋体" w:cs="宋体"/>
          <w:color w:val="auto"/>
          <w:sz w:val="21"/>
          <w:szCs w:val="21"/>
          <w:highlight w:val="none"/>
        </w:rPr>
        <w:t>：</w:t>
      </w:r>
    </w:p>
    <w:p>
      <w:pPr>
        <w:tabs>
          <w:tab w:val="left" w:pos="6300"/>
        </w:tabs>
        <w:snapToGrid w:val="0"/>
        <w:spacing w:line="500" w:lineRule="exact"/>
        <w:ind w:right="480" w:firstLine="57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1.我方具有良好的商业信誉和健全的财务会计制度，具有履行合同所必需的设备和专业技术能力，具</w:t>
      </w:r>
      <w:r>
        <w:rPr>
          <w:rFonts w:hint="eastAsia" w:ascii="宋体" w:hAnsi="宋体" w:eastAsia="宋体" w:cs="宋体"/>
          <w:color w:val="auto"/>
          <w:sz w:val="21"/>
          <w:szCs w:val="21"/>
          <w:highlight w:val="none"/>
          <w:lang w:val="zh-CN"/>
        </w:rPr>
        <w:t>有依法缴纳税收和社会保障金的良好记录</w:t>
      </w:r>
      <w:r>
        <w:rPr>
          <w:rFonts w:hint="eastAsia" w:ascii="宋体" w:hAnsi="宋体" w:eastAsia="宋体" w:cs="宋体"/>
          <w:color w:val="auto"/>
          <w:sz w:val="21"/>
          <w:szCs w:val="21"/>
          <w:highlight w:val="none"/>
        </w:rPr>
        <w:t>，参加本项目采购活动前三年内无重大违法活动记录。</w:t>
      </w:r>
    </w:p>
    <w:p>
      <w:pPr>
        <w:tabs>
          <w:tab w:val="left" w:pos="6300"/>
        </w:tabs>
        <w:snapToGrid w:val="0"/>
        <w:spacing w:line="500" w:lineRule="exact"/>
        <w:ind w:right="480" w:firstLine="57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right="480" w:firstLine="57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3.我方在采购项目评审（评标）环节结束后，随时接受采购人、采购代理机构的检查验证，配合提供相关证明材料，证明符合《中华人民共和国政府采购法》规定的投标人基本资格条件。</w:t>
      </w:r>
    </w:p>
    <w:p>
      <w:pPr>
        <w:tabs>
          <w:tab w:val="left" w:pos="6300"/>
        </w:tabs>
        <w:snapToGrid w:val="0"/>
        <w:spacing w:line="500" w:lineRule="exact"/>
        <w:ind w:right="480" w:firstLine="57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我方对以上承诺负全部法律责任。</w:t>
      </w:r>
    </w:p>
    <w:p>
      <w:pPr>
        <w:tabs>
          <w:tab w:val="left" w:pos="6300"/>
        </w:tabs>
        <w:snapToGrid w:val="0"/>
        <w:spacing w:line="500" w:lineRule="exact"/>
        <w:ind w:right="480" w:firstLine="57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pPr>
        <w:tabs>
          <w:tab w:val="left" w:pos="6300"/>
        </w:tabs>
        <w:snapToGrid w:val="0"/>
        <w:spacing w:line="500" w:lineRule="exact"/>
        <w:ind w:right="480" w:firstLine="570"/>
        <w:jc w:val="left"/>
        <w:rPr>
          <w:rFonts w:hint="eastAsia" w:ascii="宋体" w:hAnsi="宋体" w:eastAsia="宋体" w:cs="宋体"/>
          <w:color w:val="auto"/>
          <w:sz w:val="21"/>
          <w:szCs w:val="21"/>
          <w:highlight w:val="none"/>
        </w:rPr>
      </w:pPr>
    </w:p>
    <w:p>
      <w:pPr>
        <w:tabs>
          <w:tab w:val="left" w:pos="6300"/>
        </w:tabs>
        <w:snapToGrid w:val="0"/>
        <w:spacing w:line="500" w:lineRule="exact"/>
        <w:ind w:right="480" w:firstLine="57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公章）</w:t>
      </w:r>
    </w:p>
    <w:p>
      <w:pPr>
        <w:tabs>
          <w:tab w:val="left" w:pos="6300"/>
        </w:tabs>
        <w:snapToGrid w:val="0"/>
        <w:spacing w:line="500" w:lineRule="exact"/>
        <w:ind w:right="480" w:firstLine="57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pPr>
        <w:pStyle w:val="11"/>
        <w:rPr>
          <w:color w:val="auto"/>
          <w:szCs w:val="21"/>
          <w:highlight w:val="none"/>
        </w:rPr>
      </w:pPr>
    </w:p>
    <w:p>
      <w:pPr>
        <w:pStyle w:val="11"/>
        <w:rPr>
          <w:color w:val="auto"/>
          <w:szCs w:val="21"/>
          <w:highlight w:val="none"/>
        </w:rPr>
      </w:pPr>
    </w:p>
    <w:p>
      <w:pPr>
        <w:pStyle w:val="11"/>
        <w:rPr>
          <w:color w:val="auto"/>
          <w:szCs w:val="21"/>
          <w:highlight w:val="none"/>
        </w:rPr>
      </w:pPr>
    </w:p>
    <w:p>
      <w:pPr>
        <w:pStyle w:val="22"/>
        <w:tabs>
          <w:tab w:val="left" w:pos="5580"/>
        </w:tabs>
        <w:adjustRightInd w:val="0"/>
        <w:snapToGrid w:val="0"/>
        <w:spacing w:line="480" w:lineRule="exact"/>
        <w:rPr>
          <w:rFonts w:ascii="Times New Roman" w:hAnsi="Times New Roman"/>
          <w:color w:val="auto"/>
          <w:sz w:val="21"/>
          <w:szCs w:val="21"/>
          <w:highlight w:val="none"/>
        </w:rPr>
      </w:pPr>
    </w:p>
    <w:p>
      <w:pPr>
        <w:rPr>
          <w:b/>
          <w:color w:val="auto"/>
          <w:sz w:val="24"/>
          <w:szCs w:val="21"/>
          <w:highlight w:val="none"/>
        </w:rPr>
      </w:pPr>
      <w:r>
        <w:rPr>
          <w:color w:val="auto"/>
          <w:szCs w:val="21"/>
          <w:highlight w:val="none"/>
        </w:rPr>
        <w:br w:type="page"/>
      </w:r>
    </w:p>
    <w:p>
      <w:pPr>
        <w:tabs>
          <w:tab w:val="left" w:pos="6300"/>
        </w:tabs>
        <w:snapToGrid w:val="0"/>
        <w:spacing w:line="500" w:lineRule="exact"/>
        <w:rPr>
          <w:color w:val="auto"/>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5</w:t>
      </w:r>
      <w:r>
        <w:rPr>
          <w:rFonts w:hint="eastAsia"/>
          <w:color w:val="auto"/>
          <w:sz w:val="21"/>
          <w:szCs w:val="21"/>
          <w:highlight w:val="none"/>
          <w:lang w:eastAsia="zh-CN"/>
        </w:rPr>
        <w:t>）</w:t>
      </w:r>
      <w:r>
        <w:rPr>
          <w:rFonts w:ascii="Times New Roman" w:hAnsi="Times New Roman"/>
          <w:color w:val="auto"/>
          <w:sz w:val="21"/>
          <w:szCs w:val="21"/>
          <w:highlight w:val="none"/>
        </w:rPr>
        <w:t>评比文件要求的其他资格证明文件</w:t>
      </w:r>
      <w:r>
        <w:rPr>
          <w:rFonts w:hint="eastAsia" w:ascii="Times New Roman" w:hAnsi="Times New Roman"/>
          <w:color w:val="auto"/>
          <w:sz w:val="21"/>
          <w:szCs w:val="21"/>
          <w:highlight w:val="none"/>
          <w:lang w:eastAsia="zh-CN"/>
        </w:rPr>
        <w:t>（</w:t>
      </w:r>
      <w:r>
        <w:rPr>
          <w:rFonts w:hint="eastAsia" w:ascii="Times New Roman" w:hAnsi="Times New Roman"/>
          <w:color w:val="auto"/>
          <w:sz w:val="21"/>
          <w:szCs w:val="21"/>
          <w:highlight w:val="none"/>
          <w:lang w:val="en-US" w:eastAsia="zh-CN"/>
        </w:rPr>
        <w:t>若有</w:t>
      </w:r>
      <w:r>
        <w:rPr>
          <w:rFonts w:hint="eastAsia" w:ascii="Times New Roman" w:hAnsi="Times New Roman"/>
          <w:color w:val="auto"/>
          <w:sz w:val="21"/>
          <w:szCs w:val="21"/>
          <w:highlight w:val="none"/>
          <w:lang w:eastAsia="zh-CN"/>
        </w:rPr>
        <w:t>）</w:t>
      </w:r>
    </w:p>
    <w:p>
      <w:pPr>
        <w:tabs>
          <w:tab w:val="left" w:pos="6300"/>
        </w:tabs>
        <w:snapToGrid w:val="0"/>
        <w:spacing w:line="300" w:lineRule="exact"/>
        <w:ind w:firstLine="570"/>
        <w:rPr>
          <w:color w:val="auto"/>
          <w:szCs w:val="21"/>
          <w:highlight w:val="none"/>
        </w:rPr>
      </w:pPr>
    </w:p>
    <w:p>
      <w:pPr>
        <w:ind w:firstLine="0" w:firstLineChars="0"/>
        <w:rPr>
          <w:color w:val="auto"/>
          <w:szCs w:val="21"/>
          <w:highlight w:val="none"/>
        </w:rPr>
      </w:pPr>
      <w:r>
        <w:rPr>
          <w:color w:val="auto"/>
          <w:szCs w:val="21"/>
          <w:highlight w:val="none"/>
        </w:rPr>
        <w:br w:type="page"/>
      </w:r>
    </w:p>
    <w:p>
      <w:pPr>
        <w:ind w:firstLine="2940" w:firstLineChars="1400"/>
        <w:rPr>
          <w:bCs/>
          <w:color w:val="auto"/>
          <w:szCs w:val="21"/>
          <w:highlight w:val="none"/>
        </w:rPr>
      </w:pPr>
      <w:r>
        <w:rPr>
          <w:bCs/>
          <w:color w:val="auto"/>
          <w:szCs w:val="21"/>
          <w:highlight w:val="none"/>
        </w:rPr>
        <w:t>相关单位一览表</w:t>
      </w:r>
    </w:p>
    <w:p>
      <w:pPr>
        <w:ind w:firstLine="2940" w:firstLineChars="1400"/>
        <w:rPr>
          <w:bCs/>
          <w:color w:val="auto"/>
          <w:szCs w:val="21"/>
          <w:highlight w:val="none"/>
        </w:rPr>
      </w:pPr>
    </w:p>
    <w:p>
      <w:pPr>
        <w:ind w:firstLine="420" w:firstLineChars="200"/>
        <w:rPr>
          <w:bCs/>
          <w:color w:val="auto"/>
          <w:szCs w:val="21"/>
          <w:highlight w:val="none"/>
        </w:rPr>
      </w:pPr>
      <w:r>
        <w:rPr>
          <w:bCs/>
          <w:color w:val="auto"/>
          <w:szCs w:val="21"/>
          <w:highlight w:val="none"/>
        </w:rPr>
        <w:t>供应商应如实列出和本单位负责人为同一人或者存在直接控股、管理关系的单位名单并加盖公章</w:t>
      </w:r>
      <w:r>
        <w:rPr>
          <w:color w:val="auto"/>
          <w:szCs w:val="21"/>
          <w:highlight w:val="none"/>
        </w:rPr>
        <w:t>。</w:t>
      </w:r>
    </w:p>
    <w:tbl>
      <w:tblPr>
        <w:tblStyle w:val="3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6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6" w:type="dxa"/>
            <w:gridSpan w:val="2"/>
            <w:vAlign w:val="center"/>
          </w:tcPr>
          <w:p>
            <w:pPr>
              <w:jc w:val="center"/>
              <w:rPr>
                <w:color w:val="auto"/>
                <w:szCs w:val="21"/>
                <w:highlight w:val="none"/>
              </w:rPr>
            </w:pPr>
            <w:r>
              <w:rPr>
                <w:color w:val="auto"/>
                <w:szCs w:val="21"/>
                <w:highlight w:val="none"/>
              </w:rPr>
              <w:t>与</w:t>
            </w:r>
            <w:r>
              <w:rPr>
                <w:bCs/>
                <w:color w:val="auto"/>
                <w:szCs w:val="21"/>
                <w:highlight w:val="none"/>
              </w:rPr>
              <w:t>供应商</w:t>
            </w:r>
            <w:r>
              <w:rPr>
                <w:color w:val="auto"/>
                <w:szCs w:val="21"/>
                <w:highlight w:val="none"/>
              </w:rPr>
              <w:t>的负责人为同一人的其他单位名称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2" w:type="dxa"/>
            <w:vAlign w:val="center"/>
          </w:tcPr>
          <w:p>
            <w:pPr>
              <w:jc w:val="center"/>
              <w:rPr>
                <w:color w:val="auto"/>
                <w:szCs w:val="21"/>
                <w:highlight w:val="none"/>
              </w:rPr>
            </w:pPr>
            <w:r>
              <w:rPr>
                <w:color w:val="auto"/>
                <w:szCs w:val="21"/>
                <w:highlight w:val="none"/>
              </w:rPr>
              <w:t>1</w:t>
            </w:r>
          </w:p>
        </w:tc>
        <w:tc>
          <w:tcPr>
            <w:tcW w:w="6924" w:type="dxa"/>
            <w:vAlign w:val="center"/>
          </w:tcPr>
          <w:p>
            <w:pPr>
              <w:jc w:val="center"/>
              <w:rPr>
                <w:color w:val="auto"/>
                <w:szCs w:val="21"/>
                <w:highlight w:val="none"/>
              </w:rPr>
            </w:pPr>
            <w:r>
              <w:rPr>
                <w:color w:val="auto"/>
                <w:szCs w:val="21"/>
                <w:highlight w:val="none"/>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2" w:type="dxa"/>
            <w:vAlign w:val="center"/>
          </w:tcPr>
          <w:p>
            <w:pPr>
              <w:jc w:val="center"/>
              <w:rPr>
                <w:color w:val="auto"/>
                <w:szCs w:val="21"/>
                <w:highlight w:val="none"/>
              </w:rPr>
            </w:pPr>
            <w:r>
              <w:rPr>
                <w:color w:val="auto"/>
                <w:szCs w:val="21"/>
                <w:highlight w:val="none"/>
              </w:rPr>
              <w:t>2</w:t>
            </w:r>
          </w:p>
        </w:tc>
        <w:tc>
          <w:tcPr>
            <w:tcW w:w="6924" w:type="dxa"/>
            <w:vAlign w:val="center"/>
          </w:tcPr>
          <w:p>
            <w:pPr>
              <w:jc w:val="center"/>
              <w:rPr>
                <w:b/>
                <w:color w:val="auto"/>
                <w:szCs w:val="21"/>
                <w:highlight w:val="none"/>
              </w:rPr>
            </w:pPr>
            <w:r>
              <w:rPr>
                <w:b/>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2" w:type="dxa"/>
            <w:vAlign w:val="center"/>
          </w:tcPr>
          <w:p>
            <w:pPr>
              <w:jc w:val="center"/>
              <w:rPr>
                <w:color w:val="auto"/>
                <w:szCs w:val="21"/>
                <w:highlight w:val="none"/>
              </w:rPr>
            </w:pPr>
            <w:r>
              <w:rPr>
                <w:color w:val="auto"/>
                <w:szCs w:val="21"/>
                <w:highlight w:val="none"/>
              </w:rPr>
              <w:t>3</w:t>
            </w:r>
          </w:p>
        </w:tc>
        <w:tc>
          <w:tcPr>
            <w:tcW w:w="6924" w:type="dxa"/>
            <w:vAlign w:val="center"/>
          </w:tcPr>
          <w:p>
            <w:pPr>
              <w:jc w:val="center"/>
              <w:rPr>
                <w:b/>
                <w:color w:val="auto"/>
                <w:szCs w:val="21"/>
                <w:highlight w:val="none"/>
              </w:rPr>
            </w:pPr>
            <w:r>
              <w:rPr>
                <w:b/>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2" w:type="dxa"/>
            <w:vAlign w:val="center"/>
          </w:tcPr>
          <w:p>
            <w:pPr>
              <w:jc w:val="center"/>
              <w:rPr>
                <w:b/>
                <w:color w:val="auto"/>
                <w:szCs w:val="21"/>
                <w:highlight w:val="none"/>
              </w:rPr>
            </w:pPr>
            <w:r>
              <w:rPr>
                <w:b/>
                <w:color w:val="auto"/>
                <w:szCs w:val="21"/>
                <w:highlight w:val="none"/>
              </w:rPr>
              <w:t>…</w:t>
            </w:r>
          </w:p>
        </w:tc>
        <w:tc>
          <w:tcPr>
            <w:tcW w:w="6924" w:type="dxa"/>
            <w:vAlign w:val="center"/>
          </w:tcPr>
          <w:p>
            <w:pPr>
              <w:jc w:val="center"/>
              <w:rPr>
                <w:b/>
                <w:color w:val="auto"/>
                <w:szCs w:val="21"/>
                <w:highlight w:val="none"/>
              </w:rPr>
            </w:pPr>
            <w:r>
              <w:rPr>
                <w:b/>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6" w:type="dxa"/>
            <w:gridSpan w:val="2"/>
            <w:vAlign w:val="center"/>
          </w:tcPr>
          <w:p>
            <w:pPr>
              <w:jc w:val="center"/>
              <w:rPr>
                <w:color w:val="auto"/>
                <w:szCs w:val="21"/>
                <w:highlight w:val="none"/>
              </w:rPr>
            </w:pPr>
            <w:r>
              <w:rPr>
                <w:color w:val="auto"/>
                <w:szCs w:val="21"/>
                <w:highlight w:val="none"/>
              </w:rPr>
              <w:t>与</w:t>
            </w:r>
            <w:r>
              <w:rPr>
                <w:bCs/>
                <w:color w:val="auto"/>
                <w:szCs w:val="21"/>
                <w:highlight w:val="none"/>
              </w:rPr>
              <w:t>供应商</w:t>
            </w:r>
            <w:r>
              <w:rPr>
                <w:color w:val="auto"/>
                <w:szCs w:val="21"/>
                <w:highlight w:val="none"/>
              </w:rPr>
              <w:t>存在直接控股、管理关系的其他单位名称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2" w:type="dxa"/>
            <w:vAlign w:val="center"/>
          </w:tcPr>
          <w:p>
            <w:pPr>
              <w:jc w:val="center"/>
              <w:rPr>
                <w:color w:val="auto"/>
                <w:szCs w:val="21"/>
                <w:highlight w:val="none"/>
              </w:rPr>
            </w:pPr>
            <w:r>
              <w:rPr>
                <w:color w:val="auto"/>
                <w:szCs w:val="21"/>
                <w:highlight w:val="none"/>
              </w:rPr>
              <w:t>1</w:t>
            </w:r>
          </w:p>
        </w:tc>
        <w:tc>
          <w:tcPr>
            <w:tcW w:w="6924" w:type="dxa"/>
            <w:vAlign w:val="center"/>
          </w:tcPr>
          <w:p>
            <w:pPr>
              <w:jc w:val="center"/>
              <w:rPr>
                <w:color w:val="auto"/>
                <w:szCs w:val="21"/>
                <w:highlight w:val="none"/>
              </w:rPr>
            </w:pPr>
            <w:r>
              <w:rPr>
                <w:color w:val="auto"/>
                <w:szCs w:val="21"/>
                <w:highlight w:val="none"/>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2" w:type="dxa"/>
            <w:vAlign w:val="center"/>
          </w:tcPr>
          <w:p>
            <w:pPr>
              <w:jc w:val="center"/>
              <w:rPr>
                <w:color w:val="auto"/>
                <w:szCs w:val="21"/>
                <w:highlight w:val="none"/>
              </w:rPr>
            </w:pPr>
            <w:r>
              <w:rPr>
                <w:color w:val="auto"/>
                <w:szCs w:val="21"/>
                <w:highlight w:val="none"/>
              </w:rPr>
              <w:t>2</w:t>
            </w:r>
          </w:p>
        </w:tc>
        <w:tc>
          <w:tcPr>
            <w:tcW w:w="6924" w:type="dxa"/>
            <w:vAlign w:val="center"/>
          </w:tcPr>
          <w:p>
            <w:pPr>
              <w:jc w:val="center"/>
              <w:rPr>
                <w:b/>
                <w:color w:val="auto"/>
                <w:szCs w:val="21"/>
                <w:highlight w:val="none"/>
              </w:rPr>
            </w:pPr>
            <w:r>
              <w:rPr>
                <w:b/>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2" w:type="dxa"/>
            <w:vAlign w:val="center"/>
          </w:tcPr>
          <w:p>
            <w:pPr>
              <w:jc w:val="center"/>
              <w:rPr>
                <w:color w:val="auto"/>
                <w:szCs w:val="21"/>
                <w:highlight w:val="none"/>
              </w:rPr>
            </w:pPr>
            <w:r>
              <w:rPr>
                <w:color w:val="auto"/>
                <w:szCs w:val="21"/>
                <w:highlight w:val="none"/>
              </w:rPr>
              <w:t>3</w:t>
            </w:r>
          </w:p>
        </w:tc>
        <w:tc>
          <w:tcPr>
            <w:tcW w:w="6924" w:type="dxa"/>
            <w:vAlign w:val="center"/>
          </w:tcPr>
          <w:p>
            <w:pPr>
              <w:jc w:val="center"/>
              <w:rPr>
                <w:b/>
                <w:color w:val="auto"/>
                <w:szCs w:val="21"/>
                <w:highlight w:val="none"/>
              </w:rPr>
            </w:pPr>
            <w:r>
              <w:rPr>
                <w:b/>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2" w:type="dxa"/>
            <w:vAlign w:val="center"/>
          </w:tcPr>
          <w:p>
            <w:pPr>
              <w:jc w:val="center"/>
              <w:rPr>
                <w:b/>
                <w:color w:val="auto"/>
                <w:szCs w:val="21"/>
                <w:highlight w:val="none"/>
              </w:rPr>
            </w:pPr>
            <w:r>
              <w:rPr>
                <w:b/>
                <w:color w:val="auto"/>
                <w:szCs w:val="21"/>
                <w:highlight w:val="none"/>
              </w:rPr>
              <w:t>…</w:t>
            </w:r>
          </w:p>
        </w:tc>
        <w:tc>
          <w:tcPr>
            <w:tcW w:w="6924" w:type="dxa"/>
            <w:vAlign w:val="center"/>
          </w:tcPr>
          <w:p>
            <w:pPr>
              <w:jc w:val="center"/>
              <w:rPr>
                <w:b/>
                <w:color w:val="auto"/>
                <w:szCs w:val="21"/>
                <w:highlight w:val="none"/>
              </w:rPr>
            </w:pPr>
            <w:r>
              <w:rPr>
                <w:b/>
                <w:color w:val="auto"/>
                <w:szCs w:val="21"/>
                <w:highlight w:val="none"/>
              </w:rPr>
              <w:t>……</w:t>
            </w:r>
          </w:p>
        </w:tc>
      </w:tr>
    </w:tbl>
    <w:p>
      <w:pPr>
        <w:snapToGrid w:val="0"/>
        <w:spacing w:line="402" w:lineRule="atLeast"/>
        <w:rPr>
          <w:color w:val="auto"/>
          <w:szCs w:val="21"/>
          <w:highlight w:val="none"/>
          <w:lang w:val="zh-CN"/>
        </w:rPr>
      </w:pPr>
      <w:r>
        <w:rPr>
          <w:bCs/>
          <w:color w:val="auto"/>
          <w:szCs w:val="21"/>
          <w:highlight w:val="none"/>
        </w:rPr>
        <w:t>供应商</w:t>
      </w:r>
      <w:r>
        <w:rPr>
          <w:color w:val="auto"/>
          <w:szCs w:val="21"/>
          <w:highlight w:val="none"/>
          <w:lang w:val="zh-CN"/>
        </w:rPr>
        <w:t>授权代表（签字）</w:t>
      </w:r>
      <w:r>
        <w:rPr>
          <w:color w:val="auto"/>
          <w:szCs w:val="21"/>
          <w:highlight w:val="none"/>
          <w:u w:val="single"/>
          <w:lang w:val="zh-CN"/>
        </w:rPr>
        <w:t xml:space="preserve">              </w:t>
      </w:r>
      <w:r>
        <w:rPr>
          <w:color w:val="auto"/>
          <w:szCs w:val="21"/>
          <w:highlight w:val="none"/>
          <w:lang w:val="zh-CN"/>
        </w:rPr>
        <w:t xml:space="preserve">          </w:t>
      </w:r>
    </w:p>
    <w:p>
      <w:pPr>
        <w:rPr>
          <w:b/>
          <w:bCs/>
          <w:color w:val="auto"/>
          <w:szCs w:val="21"/>
          <w:highlight w:val="none"/>
        </w:rPr>
      </w:pPr>
      <w:r>
        <w:rPr>
          <w:color w:val="auto"/>
          <w:szCs w:val="21"/>
          <w:highlight w:val="none"/>
        </w:rPr>
        <w:t>投标人公章</w:t>
      </w:r>
      <w:r>
        <w:rPr>
          <w:color w:val="auto"/>
          <w:szCs w:val="21"/>
          <w:highlight w:val="none"/>
          <w:u w:val="single"/>
        </w:rPr>
        <w:t>　　　　　　　　　       　</w:t>
      </w:r>
    </w:p>
    <w:p>
      <w:pPr>
        <w:rPr>
          <w:color w:val="auto"/>
          <w:szCs w:val="21"/>
          <w:highlight w:val="none"/>
        </w:rPr>
      </w:pPr>
    </w:p>
    <w:p>
      <w:pPr>
        <w:spacing w:line="360" w:lineRule="auto"/>
        <w:rPr>
          <w:color w:val="auto"/>
          <w:szCs w:val="21"/>
          <w:highlight w:val="none"/>
        </w:rPr>
      </w:pPr>
      <w:r>
        <w:rPr>
          <w:color w:val="auto"/>
          <w:szCs w:val="21"/>
          <w:highlight w:val="none"/>
        </w:rPr>
        <w:t>注：（1）如</w:t>
      </w:r>
      <w:r>
        <w:rPr>
          <w:bCs/>
          <w:color w:val="auto"/>
          <w:szCs w:val="21"/>
          <w:highlight w:val="none"/>
        </w:rPr>
        <w:t>供应商</w:t>
      </w:r>
      <w:r>
        <w:rPr>
          <w:color w:val="auto"/>
          <w:szCs w:val="21"/>
          <w:highlight w:val="none"/>
        </w:rPr>
        <w:t>没有表中列示的相关单位，请填写“无”。</w:t>
      </w:r>
    </w:p>
    <w:p>
      <w:pPr>
        <w:spacing w:line="360" w:lineRule="auto"/>
        <w:ind w:firstLine="420" w:firstLineChars="200"/>
        <w:rPr>
          <w:color w:val="auto"/>
          <w:szCs w:val="21"/>
          <w:highlight w:val="none"/>
        </w:rPr>
      </w:pPr>
      <w:r>
        <w:rPr>
          <w:color w:val="auto"/>
          <w:szCs w:val="21"/>
          <w:highlight w:val="none"/>
        </w:rPr>
        <w:t>（2）单位负责人是指单位法定代表人或者法律、行政法规规定代表单位行使职权的主要负责人。</w:t>
      </w:r>
    </w:p>
    <w:p>
      <w:pPr>
        <w:spacing w:line="360" w:lineRule="auto"/>
        <w:ind w:firstLine="420" w:firstLineChars="200"/>
        <w:rPr>
          <w:color w:val="auto"/>
          <w:szCs w:val="21"/>
          <w:highlight w:val="none"/>
        </w:rPr>
      </w:pPr>
      <w:r>
        <w:rPr>
          <w:color w:val="auto"/>
          <w:szCs w:val="21"/>
          <w:highlight w:val="none"/>
        </w:rPr>
        <w:t>（3）控股关系是指单位或个人股东的控股关系，管理关系是指不具有出资持股关系的其他单位之间存在的管理与被管理关系。</w:t>
      </w:r>
    </w:p>
    <w:p>
      <w:pPr>
        <w:ind w:firstLine="480"/>
        <w:rPr>
          <w:color w:val="auto"/>
          <w:szCs w:val="21"/>
          <w:highlight w:val="none"/>
        </w:rPr>
      </w:pPr>
    </w:p>
    <w:p>
      <w:pPr>
        <w:adjustRightInd w:val="0"/>
        <w:snapToGrid w:val="0"/>
        <w:spacing w:line="360" w:lineRule="auto"/>
        <w:rPr>
          <w:color w:val="auto"/>
          <w:szCs w:val="21"/>
          <w:highlight w:val="none"/>
        </w:rPr>
      </w:pPr>
    </w:p>
    <w:p>
      <w:pPr>
        <w:adjustRightInd w:val="0"/>
        <w:snapToGrid w:val="0"/>
        <w:spacing w:line="360" w:lineRule="auto"/>
        <w:rPr>
          <w:color w:val="auto"/>
          <w:sz w:val="24"/>
          <w:szCs w:val="21"/>
          <w:highlight w:val="none"/>
        </w:rPr>
      </w:pPr>
      <w:r>
        <w:rPr>
          <w:color w:val="auto"/>
          <w:szCs w:val="21"/>
          <w:highlight w:val="none"/>
        </w:rPr>
        <w:br w:type="page"/>
      </w:r>
    </w:p>
    <w:p>
      <w:pPr>
        <w:pStyle w:val="3"/>
        <w:rPr>
          <w:rFonts w:ascii="Times New Roman" w:hAnsi="Times New Roman" w:eastAsia="宋体"/>
          <w:color w:val="auto"/>
          <w:sz w:val="32"/>
          <w:highlight w:val="none"/>
        </w:rPr>
      </w:pPr>
      <w:r>
        <w:rPr>
          <w:rFonts w:ascii="Times New Roman" w:hAnsi="Times New Roman" w:eastAsia="宋体"/>
          <w:color w:val="auto"/>
          <w:sz w:val="32"/>
          <w:highlight w:val="none"/>
        </w:rPr>
        <w:t>六、技术响应偏离表</w:t>
      </w:r>
    </w:p>
    <w:p>
      <w:pPr>
        <w:rPr>
          <w:color w:val="auto"/>
          <w:sz w:val="24"/>
          <w:szCs w:val="21"/>
          <w:highlight w:val="none"/>
        </w:rPr>
      </w:pPr>
    </w:p>
    <w:p>
      <w:pPr>
        <w:pStyle w:val="90"/>
        <w:rPr>
          <w:rFonts w:ascii="Times New Roman"/>
          <w:color w:val="auto"/>
          <w:highlight w:val="none"/>
        </w:rPr>
      </w:pPr>
      <w:r>
        <w:rPr>
          <w:rFonts w:ascii="Times New Roman"/>
          <w:color w:val="auto"/>
          <w:highlight w:val="none"/>
        </w:rPr>
        <w:t>项目名称：</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2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color w:val="auto"/>
                <w:szCs w:val="21"/>
                <w:highlight w:val="none"/>
              </w:rPr>
            </w:pPr>
            <w:r>
              <w:rPr>
                <w:color w:val="auto"/>
                <w:szCs w:val="21"/>
                <w:highlight w:val="none"/>
              </w:rPr>
              <w:t>序号</w:t>
            </w:r>
          </w:p>
        </w:tc>
        <w:tc>
          <w:tcPr>
            <w:tcW w:w="242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color w:val="auto"/>
                <w:szCs w:val="21"/>
                <w:highlight w:val="none"/>
              </w:rPr>
            </w:pPr>
            <w:r>
              <w:rPr>
                <w:color w:val="auto"/>
                <w:szCs w:val="21"/>
                <w:highlight w:val="none"/>
              </w:rPr>
              <w:t>文件要求</w:t>
            </w: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color w:val="auto"/>
                <w:szCs w:val="21"/>
                <w:highlight w:val="none"/>
              </w:rPr>
            </w:pPr>
            <w:r>
              <w:rPr>
                <w:color w:val="auto"/>
                <w:szCs w:val="21"/>
                <w:highlight w:val="none"/>
              </w:rPr>
              <w:t>响应应答</w:t>
            </w:r>
          </w:p>
        </w:tc>
        <w:tc>
          <w:tcPr>
            <w:tcW w:w="2513"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color w:val="auto"/>
                <w:szCs w:val="21"/>
                <w:highlight w:val="none"/>
              </w:rPr>
            </w:pPr>
            <w:r>
              <w:rPr>
                <w:color w:val="auto"/>
                <w:szCs w:val="21"/>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color w:val="auto"/>
                <w:szCs w:val="21"/>
                <w:highlight w:val="none"/>
              </w:rPr>
            </w:pPr>
          </w:p>
        </w:tc>
        <w:tc>
          <w:tcPr>
            <w:tcW w:w="242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color w:val="auto"/>
                <w:szCs w:val="21"/>
                <w:highlight w:val="none"/>
              </w:rPr>
            </w:pPr>
          </w:p>
        </w:tc>
        <w:tc>
          <w:tcPr>
            <w:tcW w:w="2513"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color w:val="auto"/>
                <w:szCs w:val="21"/>
                <w:highlight w:val="none"/>
              </w:rPr>
            </w:pPr>
          </w:p>
        </w:tc>
        <w:tc>
          <w:tcPr>
            <w:tcW w:w="242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color w:val="auto"/>
                <w:szCs w:val="21"/>
                <w:highlight w:val="none"/>
              </w:rPr>
            </w:pPr>
          </w:p>
        </w:tc>
        <w:tc>
          <w:tcPr>
            <w:tcW w:w="2513"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color w:val="auto"/>
                <w:szCs w:val="21"/>
                <w:highlight w:val="none"/>
              </w:rPr>
            </w:pPr>
          </w:p>
        </w:tc>
        <w:tc>
          <w:tcPr>
            <w:tcW w:w="242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color w:val="auto"/>
                <w:szCs w:val="21"/>
                <w:highlight w:val="none"/>
              </w:rPr>
            </w:pPr>
          </w:p>
        </w:tc>
        <w:tc>
          <w:tcPr>
            <w:tcW w:w="2513"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color w:val="auto"/>
                <w:szCs w:val="21"/>
                <w:highlight w:val="none"/>
              </w:rPr>
            </w:pPr>
          </w:p>
        </w:tc>
        <w:tc>
          <w:tcPr>
            <w:tcW w:w="242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color w:val="auto"/>
                <w:szCs w:val="21"/>
                <w:highlight w:val="none"/>
              </w:rPr>
            </w:pPr>
          </w:p>
        </w:tc>
        <w:tc>
          <w:tcPr>
            <w:tcW w:w="2513"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color w:val="auto"/>
                <w:szCs w:val="21"/>
                <w:highlight w:val="none"/>
              </w:rPr>
            </w:pPr>
          </w:p>
        </w:tc>
        <w:tc>
          <w:tcPr>
            <w:tcW w:w="242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color w:val="auto"/>
                <w:szCs w:val="21"/>
                <w:highlight w:val="none"/>
              </w:rPr>
            </w:pPr>
          </w:p>
        </w:tc>
        <w:tc>
          <w:tcPr>
            <w:tcW w:w="2513"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color w:val="auto"/>
                <w:szCs w:val="21"/>
                <w:highlight w:val="none"/>
              </w:rPr>
            </w:pPr>
          </w:p>
        </w:tc>
        <w:tc>
          <w:tcPr>
            <w:tcW w:w="242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color w:val="auto"/>
                <w:szCs w:val="21"/>
                <w:highlight w:val="none"/>
              </w:rPr>
            </w:pPr>
          </w:p>
        </w:tc>
        <w:tc>
          <w:tcPr>
            <w:tcW w:w="2513"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color w:val="auto"/>
                <w:szCs w:val="21"/>
                <w:highlight w:val="none"/>
              </w:rPr>
            </w:pPr>
          </w:p>
        </w:tc>
        <w:tc>
          <w:tcPr>
            <w:tcW w:w="242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color w:val="auto"/>
                <w:szCs w:val="21"/>
                <w:highlight w:val="none"/>
              </w:rPr>
            </w:pPr>
          </w:p>
        </w:tc>
        <w:tc>
          <w:tcPr>
            <w:tcW w:w="2513"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color w:val="auto"/>
                <w:szCs w:val="21"/>
                <w:highlight w:val="none"/>
              </w:rPr>
            </w:pPr>
          </w:p>
        </w:tc>
        <w:tc>
          <w:tcPr>
            <w:tcW w:w="242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color w:val="auto"/>
                <w:szCs w:val="21"/>
                <w:highlight w:val="none"/>
              </w:rPr>
            </w:pPr>
          </w:p>
        </w:tc>
        <w:tc>
          <w:tcPr>
            <w:tcW w:w="2513"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color w:val="auto"/>
                <w:szCs w:val="21"/>
                <w:highlight w:val="none"/>
              </w:rPr>
            </w:pPr>
          </w:p>
        </w:tc>
      </w:tr>
    </w:tbl>
    <w:p>
      <w:pPr>
        <w:spacing w:line="500" w:lineRule="exact"/>
        <w:ind w:firstLine="525" w:firstLineChars="250"/>
        <w:rPr>
          <w:color w:val="auto"/>
          <w:szCs w:val="21"/>
          <w:highlight w:val="none"/>
        </w:rPr>
      </w:pPr>
      <w:r>
        <w:rPr>
          <w:color w:val="auto"/>
          <w:szCs w:val="21"/>
          <w:highlight w:val="none"/>
        </w:rPr>
        <w:t>供应商：                                法定代表人（或法定代表人授权代表）或自然人：</w:t>
      </w:r>
    </w:p>
    <w:p>
      <w:pPr>
        <w:spacing w:line="500" w:lineRule="exact"/>
        <w:rPr>
          <w:color w:val="auto"/>
          <w:szCs w:val="21"/>
          <w:highlight w:val="none"/>
        </w:rPr>
      </w:pPr>
      <w:r>
        <w:rPr>
          <w:color w:val="auto"/>
          <w:szCs w:val="21"/>
          <w:highlight w:val="none"/>
        </w:rPr>
        <w:t xml:space="preserve">    </w:t>
      </w:r>
    </w:p>
    <w:p>
      <w:pPr>
        <w:spacing w:line="500" w:lineRule="exact"/>
        <w:ind w:firstLine="630" w:firstLineChars="300"/>
        <w:rPr>
          <w:color w:val="auto"/>
          <w:szCs w:val="21"/>
          <w:highlight w:val="none"/>
        </w:rPr>
      </w:pPr>
      <w:r>
        <w:rPr>
          <w:color w:val="auto"/>
          <w:szCs w:val="21"/>
          <w:highlight w:val="none"/>
        </w:rPr>
        <w:t>（供应商公章）                               （签署或盖章）</w:t>
      </w:r>
    </w:p>
    <w:p>
      <w:pPr>
        <w:tabs>
          <w:tab w:val="left" w:pos="6300"/>
        </w:tabs>
        <w:snapToGrid w:val="0"/>
        <w:spacing w:line="500" w:lineRule="exact"/>
        <w:ind w:firstLine="570"/>
        <w:rPr>
          <w:color w:val="auto"/>
          <w:szCs w:val="21"/>
          <w:highlight w:val="none"/>
        </w:rPr>
      </w:pPr>
      <w:r>
        <w:rPr>
          <w:color w:val="auto"/>
          <w:szCs w:val="21"/>
          <w:highlight w:val="none"/>
        </w:rPr>
        <w:t xml:space="preserve">                                            年     月     日</w:t>
      </w:r>
    </w:p>
    <w:p>
      <w:pPr>
        <w:tabs>
          <w:tab w:val="left" w:pos="6300"/>
        </w:tabs>
        <w:snapToGrid w:val="0"/>
        <w:spacing w:line="500" w:lineRule="exact"/>
        <w:ind w:firstLine="570"/>
        <w:rPr>
          <w:color w:val="auto"/>
          <w:szCs w:val="21"/>
          <w:highlight w:val="none"/>
        </w:rPr>
      </w:pPr>
      <w:r>
        <w:rPr>
          <w:color w:val="auto"/>
          <w:szCs w:val="21"/>
          <w:highlight w:val="none"/>
        </w:rPr>
        <w:t>注：</w:t>
      </w:r>
    </w:p>
    <w:p>
      <w:pPr>
        <w:tabs>
          <w:tab w:val="left" w:pos="6300"/>
        </w:tabs>
        <w:spacing w:line="500" w:lineRule="exact"/>
        <w:ind w:firstLine="420" w:firstLineChars="200"/>
        <w:rPr>
          <w:b/>
          <w:color w:val="auto"/>
          <w:szCs w:val="21"/>
          <w:highlight w:val="none"/>
        </w:rPr>
      </w:pPr>
      <w:r>
        <w:rPr>
          <w:color w:val="auto"/>
          <w:szCs w:val="21"/>
          <w:highlight w:val="none"/>
        </w:rPr>
        <w:t xml:space="preserve">1.本表即为对本项目“第四章 </w:t>
      </w:r>
      <w:r>
        <w:rPr>
          <w:rFonts w:hint="eastAsia"/>
          <w:color w:val="auto"/>
          <w:szCs w:val="21"/>
          <w:highlight w:val="none"/>
          <w:lang w:val="en-US" w:eastAsia="zh-CN"/>
        </w:rPr>
        <w:t>二</w:t>
      </w:r>
      <w:r>
        <w:rPr>
          <w:color w:val="auto"/>
          <w:szCs w:val="21"/>
          <w:highlight w:val="none"/>
        </w:rPr>
        <w:t>.</w:t>
      </w:r>
      <w:r>
        <w:rPr>
          <w:b/>
          <w:color w:val="auto"/>
          <w:szCs w:val="21"/>
          <w:highlight w:val="none"/>
        </w:rPr>
        <w:t>项目技术及质量要求</w:t>
      </w:r>
      <w:r>
        <w:rPr>
          <w:color w:val="auto"/>
          <w:szCs w:val="21"/>
          <w:highlight w:val="none"/>
        </w:rPr>
        <w:t>”中</w:t>
      </w:r>
      <w:r>
        <w:rPr>
          <w:b/>
          <w:color w:val="auto"/>
          <w:szCs w:val="21"/>
          <w:highlight w:val="none"/>
        </w:rPr>
        <w:t xml:space="preserve">所列的全部内容进行比较和响应； </w:t>
      </w:r>
    </w:p>
    <w:p>
      <w:pPr>
        <w:tabs>
          <w:tab w:val="left" w:pos="6300"/>
        </w:tabs>
        <w:snapToGrid w:val="0"/>
        <w:spacing w:line="500" w:lineRule="exact"/>
        <w:ind w:firstLine="420" w:firstLineChars="200"/>
        <w:rPr>
          <w:color w:val="auto"/>
          <w:szCs w:val="21"/>
          <w:highlight w:val="none"/>
        </w:rPr>
      </w:pPr>
      <w:r>
        <w:rPr>
          <w:color w:val="auto"/>
          <w:szCs w:val="21"/>
          <w:highlight w:val="none"/>
        </w:rPr>
        <w:t>2.该表必须按照评比文件要求如实填写，根据响应情况在“差异说明”项填写正偏离或负偏离及原因，完全符合的填写“无差异”；</w:t>
      </w:r>
    </w:p>
    <w:p>
      <w:pPr>
        <w:tabs>
          <w:tab w:val="left" w:pos="6300"/>
        </w:tabs>
        <w:snapToGrid w:val="0"/>
        <w:spacing w:line="500" w:lineRule="exact"/>
        <w:ind w:firstLine="420" w:firstLineChars="200"/>
        <w:rPr>
          <w:color w:val="auto"/>
          <w:szCs w:val="21"/>
          <w:highlight w:val="none"/>
        </w:rPr>
      </w:pPr>
      <w:r>
        <w:rPr>
          <w:color w:val="auto"/>
          <w:szCs w:val="21"/>
          <w:highlight w:val="none"/>
        </w:rPr>
        <w:t>3.该表可扩展；</w:t>
      </w:r>
    </w:p>
    <w:p>
      <w:pPr>
        <w:tabs>
          <w:tab w:val="left" w:pos="6300"/>
        </w:tabs>
        <w:snapToGrid w:val="0"/>
        <w:spacing w:line="500" w:lineRule="exact"/>
        <w:ind w:firstLine="422" w:firstLineChars="200"/>
        <w:rPr>
          <w:b/>
          <w:color w:val="auto"/>
          <w:szCs w:val="21"/>
          <w:highlight w:val="none"/>
        </w:rPr>
      </w:pPr>
      <w:r>
        <w:rPr>
          <w:b/>
          <w:color w:val="auto"/>
          <w:szCs w:val="21"/>
          <w:highlight w:val="none"/>
        </w:rPr>
        <w:t>4.附评比文件中要求提供的相关技术支撑材料。（格式自定）</w:t>
      </w:r>
    </w:p>
    <w:p>
      <w:pPr>
        <w:tabs>
          <w:tab w:val="left" w:pos="6300"/>
        </w:tabs>
        <w:snapToGrid w:val="0"/>
        <w:spacing w:line="500" w:lineRule="exact"/>
        <w:ind w:firstLine="422" w:firstLineChars="200"/>
        <w:rPr>
          <w:b/>
          <w:color w:val="auto"/>
          <w:szCs w:val="21"/>
          <w:highlight w:val="none"/>
        </w:rPr>
      </w:pPr>
    </w:p>
    <w:p>
      <w:pPr>
        <w:tabs>
          <w:tab w:val="left" w:pos="6300"/>
        </w:tabs>
        <w:snapToGrid w:val="0"/>
        <w:spacing w:line="500" w:lineRule="exact"/>
        <w:ind w:firstLine="422" w:firstLineChars="200"/>
        <w:rPr>
          <w:b/>
          <w:color w:val="auto"/>
          <w:szCs w:val="21"/>
          <w:highlight w:val="none"/>
        </w:rPr>
      </w:pPr>
    </w:p>
    <w:p>
      <w:pPr>
        <w:rPr>
          <w:color w:val="auto"/>
          <w:sz w:val="24"/>
          <w:szCs w:val="21"/>
          <w:highlight w:val="none"/>
        </w:rPr>
      </w:pPr>
    </w:p>
    <w:p>
      <w:pPr>
        <w:rPr>
          <w:color w:val="auto"/>
          <w:sz w:val="24"/>
          <w:szCs w:val="21"/>
          <w:highlight w:val="none"/>
        </w:rPr>
      </w:pPr>
    </w:p>
    <w:p>
      <w:pPr>
        <w:pStyle w:val="11"/>
        <w:rPr>
          <w:color w:val="auto"/>
          <w:highlight w:val="none"/>
        </w:rPr>
      </w:pPr>
    </w:p>
    <w:p>
      <w:pPr>
        <w:pStyle w:val="11"/>
        <w:rPr>
          <w:color w:val="auto"/>
          <w:highlight w:val="none"/>
        </w:rPr>
      </w:pPr>
    </w:p>
    <w:p>
      <w:pPr>
        <w:pStyle w:val="11"/>
        <w:rPr>
          <w:color w:val="auto"/>
          <w:highlight w:val="none"/>
        </w:rPr>
      </w:pPr>
    </w:p>
    <w:p>
      <w:pPr>
        <w:pStyle w:val="11"/>
        <w:rPr>
          <w:color w:val="auto"/>
          <w:highlight w:val="none"/>
        </w:rPr>
      </w:pPr>
    </w:p>
    <w:p>
      <w:pPr>
        <w:pStyle w:val="3"/>
        <w:rPr>
          <w:rFonts w:ascii="Times New Roman" w:hAnsi="Times New Roman" w:eastAsia="宋体"/>
          <w:color w:val="auto"/>
          <w:sz w:val="32"/>
          <w:highlight w:val="none"/>
        </w:rPr>
      </w:pPr>
      <w:r>
        <w:rPr>
          <w:rFonts w:ascii="Times New Roman" w:hAnsi="Times New Roman" w:eastAsia="宋体"/>
          <w:color w:val="auto"/>
          <w:sz w:val="32"/>
          <w:highlight w:val="none"/>
        </w:rPr>
        <w:t>七、商务响应偏离表</w:t>
      </w:r>
    </w:p>
    <w:p>
      <w:pPr>
        <w:rPr>
          <w:color w:val="auto"/>
          <w:sz w:val="24"/>
          <w:szCs w:val="21"/>
          <w:highlight w:val="none"/>
        </w:rPr>
      </w:pPr>
    </w:p>
    <w:p>
      <w:pPr>
        <w:pStyle w:val="90"/>
        <w:ind w:firstLine="420"/>
        <w:rPr>
          <w:rFonts w:ascii="Times New Roman"/>
          <w:color w:val="auto"/>
          <w:sz w:val="21"/>
          <w:szCs w:val="21"/>
          <w:highlight w:val="none"/>
        </w:rPr>
      </w:pPr>
      <w:r>
        <w:rPr>
          <w:rFonts w:ascii="Times New Roman"/>
          <w:color w:val="auto"/>
          <w:sz w:val="21"/>
          <w:szCs w:val="21"/>
          <w:highlight w:val="none"/>
        </w:rPr>
        <w:t>项目名称：</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2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color w:val="auto"/>
                <w:szCs w:val="21"/>
                <w:highlight w:val="none"/>
              </w:rPr>
            </w:pPr>
            <w:r>
              <w:rPr>
                <w:color w:val="auto"/>
                <w:szCs w:val="21"/>
                <w:highlight w:val="none"/>
              </w:rPr>
              <w:t>序号</w:t>
            </w:r>
          </w:p>
        </w:tc>
        <w:tc>
          <w:tcPr>
            <w:tcW w:w="242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color w:val="auto"/>
                <w:szCs w:val="21"/>
                <w:highlight w:val="none"/>
              </w:rPr>
            </w:pPr>
            <w:r>
              <w:rPr>
                <w:color w:val="auto"/>
                <w:szCs w:val="21"/>
                <w:highlight w:val="none"/>
              </w:rPr>
              <w:t>文件要求</w:t>
            </w: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color w:val="auto"/>
                <w:szCs w:val="21"/>
                <w:highlight w:val="none"/>
              </w:rPr>
            </w:pPr>
            <w:r>
              <w:rPr>
                <w:color w:val="auto"/>
                <w:szCs w:val="21"/>
                <w:highlight w:val="none"/>
              </w:rPr>
              <w:t>响应应答</w:t>
            </w:r>
          </w:p>
        </w:tc>
        <w:tc>
          <w:tcPr>
            <w:tcW w:w="2513"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color w:val="auto"/>
                <w:szCs w:val="21"/>
                <w:highlight w:val="none"/>
              </w:rPr>
            </w:pPr>
            <w:r>
              <w:rPr>
                <w:color w:val="auto"/>
                <w:szCs w:val="21"/>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color w:val="auto"/>
                <w:szCs w:val="21"/>
                <w:highlight w:val="none"/>
              </w:rPr>
            </w:pPr>
          </w:p>
        </w:tc>
        <w:tc>
          <w:tcPr>
            <w:tcW w:w="242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color w:val="auto"/>
                <w:szCs w:val="21"/>
                <w:highlight w:val="none"/>
              </w:rPr>
            </w:pPr>
          </w:p>
        </w:tc>
        <w:tc>
          <w:tcPr>
            <w:tcW w:w="2513"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color w:val="auto"/>
                <w:szCs w:val="21"/>
                <w:highlight w:val="none"/>
              </w:rPr>
            </w:pPr>
          </w:p>
        </w:tc>
        <w:tc>
          <w:tcPr>
            <w:tcW w:w="242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color w:val="auto"/>
                <w:szCs w:val="21"/>
                <w:highlight w:val="none"/>
              </w:rPr>
            </w:pPr>
          </w:p>
        </w:tc>
        <w:tc>
          <w:tcPr>
            <w:tcW w:w="2513"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color w:val="auto"/>
                <w:szCs w:val="21"/>
                <w:highlight w:val="none"/>
              </w:rPr>
            </w:pPr>
          </w:p>
        </w:tc>
        <w:tc>
          <w:tcPr>
            <w:tcW w:w="242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color w:val="auto"/>
                <w:szCs w:val="21"/>
                <w:highlight w:val="none"/>
              </w:rPr>
            </w:pPr>
          </w:p>
        </w:tc>
        <w:tc>
          <w:tcPr>
            <w:tcW w:w="2513"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color w:val="auto"/>
                <w:szCs w:val="21"/>
                <w:highlight w:val="none"/>
              </w:rPr>
            </w:pPr>
          </w:p>
        </w:tc>
        <w:tc>
          <w:tcPr>
            <w:tcW w:w="242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color w:val="auto"/>
                <w:szCs w:val="21"/>
                <w:highlight w:val="none"/>
              </w:rPr>
            </w:pPr>
          </w:p>
        </w:tc>
        <w:tc>
          <w:tcPr>
            <w:tcW w:w="2513"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color w:val="auto"/>
                <w:szCs w:val="21"/>
                <w:highlight w:val="none"/>
              </w:rPr>
            </w:pPr>
          </w:p>
        </w:tc>
        <w:tc>
          <w:tcPr>
            <w:tcW w:w="242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color w:val="auto"/>
                <w:szCs w:val="21"/>
                <w:highlight w:val="none"/>
              </w:rPr>
            </w:pPr>
          </w:p>
        </w:tc>
        <w:tc>
          <w:tcPr>
            <w:tcW w:w="2513"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color w:val="auto"/>
                <w:szCs w:val="21"/>
                <w:highlight w:val="none"/>
              </w:rPr>
            </w:pPr>
          </w:p>
        </w:tc>
        <w:tc>
          <w:tcPr>
            <w:tcW w:w="242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color w:val="auto"/>
                <w:szCs w:val="21"/>
                <w:highlight w:val="none"/>
              </w:rPr>
            </w:pPr>
          </w:p>
        </w:tc>
        <w:tc>
          <w:tcPr>
            <w:tcW w:w="2513"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color w:val="auto"/>
                <w:szCs w:val="21"/>
                <w:highlight w:val="none"/>
              </w:rPr>
            </w:pPr>
          </w:p>
        </w:tc>
        <w:tc>
          <w:tcPr>
            <w:tcW w:w="242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color w:val="auto"/>
                <w:szCs w:val="21"/>
                <w:highlight w:val="none"/>
              </w:rPr>
            </w:pPr>
          </w:p>
        </w:tc>
        <w:tc>
          <w:tcPr>
            <w:tcW w:w="2513"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color w:val="auto"/>
                <w:szCs w:val="21"/>
                <w:highlight w:val="none"/>
              </w:rPr>
            </w:pPr>
          </w:p>
        </w:tc>
        <w:tc>
          <w:tcPr>
            <w:tcW w:w="242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color w:val="auto"/>
                <w:szCs w:val="21"/>
                <w:highlight w:val="none"/>
              </w:rPr>
            </w:pPr>
          </w:p>
        </w:tc>
        <w:tc>
          <w:tcPr>
            <w:tcW w:w="2513"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color w:val="auto"/>
                <w:szCs w:val="21"/>
                <w:highlight w:val="none"/>
              </w:rPr>
            </w:pPr>
          </w:p>
        </w:tc>
      </w:tr>
    </w:tbl>
    <w:p>
      <w:pPr>
        <w:spacing w:line="500" w:lineRule="exact"/>
        <w:ind w:firstLine="525" w:firstLineChars="250"/>
        <w:rPr>
          <w:color w:val="auto"/>
          <w:szCs w:val="21"/>
          <w:highlight w:val="none"/>
        </w:rPr>
      </w:pPr>
      <w:r>
        <w:rPr>
          <w:color w:val="auto"/>
          <w:szCs w:val="21"/>
          <w:highlight w:val="none"/>
        </w:rPr>
        <w:t>供应商：                                法定代表人（或法定代表人授权代表）或自然人：</w:t>
      </w:r>
    </w:p>
    <w:p>
      <w:pPr>
        <w:spacing w:line="500" w:lineRule="exact"/>
        <w:rPr>
          <w:color w:val="auto"/>
          <w:szCs w:val="21"/>
          <w:highlight w:val="none"/>
        </w:rPr>
      </w:pPr>
      <w:r>
        <w:rPr>
          <w:color w:val="auto"/>
          <w:szCs w:val="21"/>
          <w:highlight w:val="none"/>
        </w:rPr>
        <w:t xml:space="preserve">    </w:t>
      </w:r>
    </w:p>
    <w:p>
      <w:pPr>
        <w:spacing w:line="500" w:lineRule="exact"/>
        <w:ind w:firstLine="630" w:firstLineChars="300"/>
        <w:rPr>
          <w:color w:val="auto"/>
          <w:szCs w:val="21"/>
          <w:highlight w:val="none"/>
        </w:rPr>
      </w:pPr>
      <w:r>
        <w:rPr>
          <w:color w:val="auto"/>
          <w:szCs w:val="21"/>
          <w:highlight w:val="none"/>
        </w:rPr>
        <w:t>（供应商公章）                               （签署或盖章）</w:t>
      </w:r>
    </w:p>
    <w:p>
      <w:pPr>
        <w:tabs>
          <w:tab w:val="left" w:pos="6300"/>
        </w:tabs>
        <w:snapToGrid w:val="0"/>
        <w:spacing w:line="500" w:lineRule="exact"/>
        <w:ind w:firstLine="570"/>
        <w:rPr>
          <w:color w:val="auto"/>
          <w:szCs w:val="21"/>
          <w:highlight w:val="none"/>
        </w:rPr>
      </w:pPr>
      <w:r>
        <w:rPr>
          <w:color w:val="auto"/>
          <w:szCs w:val="21"/>
          <w:highlight w:val="none"/>
        </w:rPr>
        <w:t xml:space="preserve">                                            年     月     日</w:t>
      </w:r>
    </w:p>
    <w:p>
      <w:pPr>
        <w:tabs>
          <w:tab w:val="left" w:pos="6300"/>
        </w:tabs>
        <w:snapToGrid w:val="0"/>
        <w:spacing w:line="500" w:lineRule="exact"/>
        <w:ind w:firstLine="570"/>
        <w:rPr>
          <w:color w:val="auto"/>
          <w:szCs w:val="21"/>
          <w:highlight w:val="none"/>
        </w:rPr>
      </w:pPr>
      <w:r>
        <w:rPr>
          <w:color w:val="auto"/>
          <w:szCs w:val="21"/>
          <w:highlight w:val="none"/>
        </w:rPr>
        <w:t>注：</w:t>
      </w:r>
    </w:p>
    <w:p>
      <w:pPr>
        <w:tabs>
          <w:tab w:val="left" w:pos="6300"/>
        </w:tabs>
        <w:spacing w:line="500" w:lineRule="exact"/>
        <w:ind w:firstLine="420" w:firstLineChars="200"/>
        <w:rPr>
          <w:b/>
          <w:color w:val="auto"/>
          <w:szCs w:val="21"/>
          <w:highlight w:val="none"/>
        </w:rPr>
      </w:pPr>
      <w:r>
        <w:rPr>
          <w:color w:val="auto"/>
          <w:szCs w:val="21"/>
          <w:highlight w:val="none"/>
        </w:rPr>
        <w:t xml:space="preserve">1.本表即为对本项目“第四章 </w:t>
      </w:r>
      <w:r>
        <w:rPr>
          <w:rFonts w:hint="eastAsia"/>
          <w:color w:val="auto"/>
          <w:szCs w:val="21"/>
          <w:highlight w:val="none"/>
          <w:lang w:val="en-US" w:eastAsia="zh-CN"/>
        </w:rPr>
        <w:t>三</w:t>
      </w:r>
      <w:r>
        <w:rPr>
          <w:color w:val="auto"/>
          <w:szCs w:val="21"/>
          <w:highlight w:val="none"/>
        </w:rPr>
        <w:t>.商务要求”中</w:t>
      </w:r>
      <w:r>
        <w:rPr>
          <w:b/>
          <w:color w:val="auto"/>
          <w:szCs w:val="21"/>
          <w:highlight w:val="none"/>
        </w:rPr>
        <w:t xml:space="preserve">所列的全部内容进行比较和响应； </w:t>
      </w:r>
    </w:p>
    <w:p>
      <w:pPr>
        <w:tabs>
          <w:tab w:val="left" w:pos="6300"/>
        </w:tabs>
        <w:snapToGrid w:val="0"/>
        <w:spacing w:line="500" w:lineRule="exact"/>
        <w:ind w:firstLine="420" w:firstLineChars="200"/>
        <w:rPr>
          <w:color w:val="auto"/>
          <w:szCs w:val="21"/>
          <w:highlight w:val="none"/>
        </w:rPr>
      </w:pPr>
      <w:r>
        <w:rPr>
          <w:color w:val="auto"/>
          <w:szCs w:val="21"/>
          <w:highlight w:val="none"/>
        </w:rPr>
        <w:t>2.该表必须按照评比文件要求如实填写，根据响应情况在“差异说明”项填写正偏离或负偏离及原因，完全符合的填写“无差异”；</w:t>
      </w:r>
    </w:p>
    <w:p>
      <w:pPr>
        <w:tabs>
          <w:tab w:val="left" w:pos="6300"/>
        </w:tabs>
        <w:snapToGrid w:val="0"/>
        <w:spacing w:line="500" w:lineRule="exact"/>
        <w:ind w:firstLine="420" w:firstLineChars="200"/>
        <w:rPr>
          <w:color w:val="auto"/>
          <w:szCs w:val="21"/>
          <w:highlight w:val="none"/>
        </w:rPr>
      </w:pPr>
      <w:r>
        <w:rPr>
          <w:color w:val="auto"/>
          <w:szCs w:val="21"/>
          <w:highlight w:val="none"/>
        </w:rPr>
        <w:t>3.该表可扩展；</w:t>
      </w:r>
    </w:p>
    <w:p>
      <w:pPr>
        <w:rPr>
          <w:color w:val="auto"/>
          <w:sz w:val="24"/>
          <w:szCs w:val="21"/>
          <w:highlight w:val="none"/>
        </w:rPr>
      </w:pPr>
      <w:r>
        <w:rPr>
          <w:color w:val="auto"/>
          <w:sz w:val="24"/>
          <w:szCs w:val="21"/>
          <w:highlight w:val="none"/>
        </w:rPr>
        <w:br w:type="page"/>
      </w:r>
    </w:p>
    <w:bookmarkEnd w:id="66"/>
    <w:p>
      <w:pPr>
        <w:pStyle w:val="2"/>
        <w:keepLines w:val="0"/>
        <w:widowControl w:val="0"/>
        <w:tabs>
          <w:tab w:val="left" w:pos="1530"/>
          <w:tab w:val="left" w:pos="3360"/>
          <w:tab w:val="left" w:pos="8052"/>
        </w:tabs>
        <w:adjustRightInd/>
        <w:spacing w:line="480" w:lineRule="auto"/>
        <w:ind w:left="1531" w:hanging="1531"/>
        <w:rPr>
          <w:rFonts w:eastAsia="宋体"/>
          <w:bCs w:val="0"/>
          <w:color w:val="auto"/>
          <w:kern w:val="2"/>
          <w:szCs w:val="36"/>
          <w:highlight w:val="none"/>
        </w:rPr>
      </w:pPr>
      <w:bookmarkStart w:id="75" w:name="_Toc10213462"/>
      <w:bookmarkStart w:id="76" w:name="_Toc330205892"/>
      <w:r>
        <w:rPr>
          <w:rFonts w:eastAsia="宋体"/>
          <w:bCs w:val="0"/>
          <w:color w:val="auto"/>
          <w:kern w:val="2"/>
          <w:szCs w:val="36"/>
          <w:highlight w:val="none"/>
        </w:rPr>
        <w:t>第六章 评审办法</w:t>
      </w:r>
      <w:bookmarkEnd w:id="75"/>
      <w:bookmarkEnd w:id="76"/>
    </w:p>
    <w:p>
      <w:pPr>
        <w:adjustRightInd w:val="0"/>
        <w:snapToGrid w:val="0"/>
        <w:spacing w:line="440" w:lineRule="exact"/>
        <w:rPr>
          <w:b/>
          <w:color w:val="auto"/>
          <w:szCs w:val="21"/>
          <w:highlight w:val="none"/>
        </w:rPr>
      </w:pPr>
      <w:r>
        <w:rPr>
          <w:b/>
          <w:color w:val="auto"/>
          <w:szCs w:val="21"/>
          <w:highlight w:val="none"/>
        </w:rPr>
        <w:t>一、评审原则与标准</w:t>
      </w:r>
    </w:p>
    <w:p>
      <w:pPr>
        <w:adjustRightInd w:val="0"/>
        <w:snapToGrid w:val="0"/>
        <w:spacing w:line="440" w:lineRule="exact"/>
        <w:ind w:firstLine="480"/>
        <w:rPr>
          <w:color w:val="auto"/>
          <w:szCs w:val="21"/>
          <w:highlight w:val="none"/>
        </w:rPr>
      </w:pPr>
      <w:r>
        <w:rPr>
          <w:color w:val="auto"/>
          <w:szCs w:val="21"/>
          <w:highlight w:val="none"/>
        </w:rPr>
        <w:t>评审原则是指评审委员会成员在评审活动中应遵循的原则，即“公平、公正、科学、择优”的原则和评审保密原则。</w:t>
      </w:r>
    </w:p>
    <w:p>
      <w:pPr>
        <w:adjustRightInd w:val="0"/>
        <w:snapToGrid w:val="0"/>
        <w:spacing w:line="440" w:lineRule="exact"/>
        <w:rPr>
          <w:b/>
          <w:color w:val="auto"/>
          <w:szCs w:val="21"/>
          <w:highlight w:val="none"/>
        </w:rPr>
      </w:pPr>
      <w:r>
        <w:rPr>
          <w:b/>
          <w:color w:val="auto"/>
          <w:szCs w:val="21"/>
          <w:highlight w:val="none"/>
        </w:rPr>
        <w:t>二、评审方法</w:t>
      </w:r>
    </w:p>
    <w:p>
      <w:pPr>
        <w:adjustRightInd w:val="0"/>
        <w:snapToGrid w:val="0"/>
        <w:spacing w:line="440" w:lineRule="exact"/>
        <w:ind w:firstLine="480"/>
        <w:rPr>
          <w:color w:val="auto"/>
          <w:szCs w:val="21"/>
          <w:highlight w:val="none"/>
        </w:rPr>
      </w:pPr>
      <w:r>
        <w:rPr>
          <w:color w:val="auto"/>
          <w:szCs w:val="21"/>
          <w:highlight w:val="none"/>
        </w:rPr>
        <w:t>本次评审采用综合评分法，即以有关法律法规、评比文件为依据，对通过初步审查评比供应商的商务、技术及评比报价等方面进行综合评估并按得分高低进行排序及推荐。若得分相同的，按评比技术部分得分高低顺序排列，依次是商务和报价。技术部分得0分的评比供应商不得作为推荐候选供应商。</w:t>
      </w:r>
    </w:p>
    <w:p>
      <w:pPr>
        <w:numPr>
          <w:ilvl w:val="0"/>
          <w:numId w:val="23"/>
        </w:numPr>
        <w:adjustRightInd w:val="0"/>
        <w:snapToGrid w:val="0"/>
        <w:spacing w:line="440" w:lineRule="exact"/>
        <w:rPr>
          <w:color w:val="auto"/>
          <w:szCs w:val="21"/>
          <w:highlight w:val="none"/>
        </w:rPr>
      </w:pPr>
      <w:r>
        <w:rPr>
          <w:b/>
          <w:color w:val="auto"/>
          <w:szCs w:val="21"/>
          <w:highlight w:val="none"/>
        </w:rPr>
        <w:t>评分标准</w:t>
      </w:r>
    </w:p>
    <w:p>
      <w:pPr>
        <w:tabs>
          <w:tab w:val="left" w:pos="993"/>
        </w:tabs>
        <w:autoSpaceDE w:val="0"/>
        <w:autoSpaceDN w:val="0"/>
        <w:adjustRightInd w:val="0"/>
        <w:snapToGrid w:val="0"/>
        <w:spacing w:after="156" w:afterLines="50" w:line="440" w:lineRule="exact"/>
        <w:ind w:firstLine="420" w:firstLineChars="200"/>
        <w:rPr>
          <w:color w:val="auto"/>
          <w:kern w:val="0"/>
          <w:szCs w:val="21"/>
          <w:highlight w:val="none"/>
        </w:rPr>
      </w:pPr>
      <w:r>
        <w:rPr>
          <w:color w:val="auto"/>
          <w:kern w:val="0"/>
          <w:szCs w:val="21"/>
          <w:highlight w:val="none"/>
        </w:rPr>
        <w:t>分值构成：总分100分，其中：</w:t>
      </w:r>
    </w:p>
    <w:p>
      <w:pPr>
        <w:tabs>
          <w:tab w:val="left" w:pos="993"/>
        </w:tabs>
        <w:autoSpaceDE w:val="0"/>
        <w:autoSpaceDN w:val="0"/>
        <w:adjustRightInd w:val="0"/>
        <w:snapToGrid w:val="0"/>
        <w:spacing w:after="156" w:afterLines="50" w:line="440" w:lineRule="exact"/>
        <w:ind w:firstLine="210" w:firstLineChars="100"/>
        <w:rPr>
          <w:color w:val="auto"/>
          <w:kern w:val="0"/>
          <w:szCs w:val="21"/>
          <w:highlight w:val="none"/>
        </w:rPr>
      </w:pPr>
      <w:r>
        <w:rPr>
          <w:color w:val="auto"/>
          <w:kern w:val="0"/>
          <w:szCs w:val="21"/>
          <w:highlight w:val="none"/>
        </w:rPr>
        <w:t>（1）商务部分权重：</w:t>
      </w:r>
      <w:r>
        <w:rPr>
          <w:rFonts w:hint="eastAsia"/>
          <w:color w:val="auto"/>
          <w:kern w:val="0"/>
          <w:szCs w:val="21"/>
          <w:highlight w:val="none"/>
          <w:lang w:val="en-US" w:eastAsia="zh-CN"/>
        </w:rPr>
        <w:t>25</w:t>
      </w:r>
      <w:r>
        <w:rPr>
          <w:color w:val="auto"/>
          <w:kern w:val="0"/>
          <w:szCs w:val="21"/>
          <w:highlight w:val="none"/>
        </w:rPr>
        <w:t>%；</w:t>
      </w:r>
    </w:p>
    <w:p>
      <w:pPr>
        <w:tabs>
          <w:tab w:val="left" w:pos="993"/>
        </w:tabs>
        <w:autoSpaceDE w:val="0"/>
        <w:autoSpaceDN w:val="0"/>
        <w:adjustRightInd w:val="0"/>
        <w:snapToGrid w:val="0"/>
        <w:spacing w:after="156" w:afterLines="50" w:line="440" w:lineRule="exact"/>
        <w:ind w:firstLine="210" w:firstLineChars="100"/>
        <w:rPr>
          <w:color w:val="auto"/>
          <w:kern w:val="0"/>
          <w:szCs w:val="21"/>
          <w:highlight w:val="none"/>
        </w:rPr>
      </w:pPr>
      <w:r>
        <w:rPr>
          <w:color w:val="auto"/>
          <w:kern w:val="0"/>
          <w:szCs w:val="21"/>
          <w:highlight w:val="none"/>
        </w:rPr>
        <w:t>（2）技术部分权重：</w:t>
      </w:r>
      <w:r>
        <w:rPr>
          <w:rFonts w:hint="eastAsia"/>
          <w:color w:val="auto"/>
          <w:kern w:val="0"/>
          <w:szCs w:val="21"/>
          <w:highlight w:val="none"/>
          <w:lang w:val="en-US" w:eastAsia="zh-CN"/>
        </w:rPr>
        <w:t>45</w:t>
      </w:r>
      <w:r>
        <w:rPr>
          <w:color w:val="auto"/>
          <w:kern w:val="0"/>
          <w:szCs w:val="21"/>
          <w:highlight w:val="none"/>
        </w:rPr>
        <w:t xml:space="preserve">%； </w:t>
      </w:r>
    </w:p>
    <w:p>
      <w:pPr>
        <w:tabs>
          <w:tab w:val="left" w:pos="993"/>
        </w:tabs>
        <w:autoSpaceDE w:val="0"/>
        <w:autoSpaceDN w:val="0"/>
        <w:adjustRightInd w:val="0"/>
        <w:snapToGrid w:val="0"/>
        <w:spacing w:after="156" w:afterLines="50" w:line="440" w:lineRule="exact"/>
        <w:ind w:firstLine="210" w:firstLineChars="100"/>
        <w:rPr>
          <w:color w:val="auto"/>
          <w:kern w:val="0"/>
          <w:szCs w:val="21"/>
          <w:highlight w:val="none"/>
        </w:rPr>
      </w:pPr>
      <w:r>
        <w:rPr>
          <w:color w:val="auto"/>
          <w:kern w:val="0"/>
          <w:szCs w:val="21"/>
          <w:highlight w:val="none"/>
        </w:rPr>
        <w:t>（3）报价部分权重：30%。</w:t>
      </w:r>
    </w:p>
    <w:p>
      <w:pPr>
        <w:rPr>
          <w:b/>
          <w:color w:val="auto"/>
          <w:sz w:val="30"/>
          <w:szCs w:val="30"/>
          <w:highlight w:val="none"/>
        </w:rPr>
      </w:pPr>
      <w:r>
        <w:rPr>
          <w:b/>
          <w:color w:val="auto"/>
          <w:sz w:val="30"/>
          <w:szCs w:val="30"/>
          <w:highlight w:val="none"/>
        </w:rPr>
        <w:br w:type="page"/>
      </w:r>
    </w:p>
    <w:p>
      <w:pPr>
        <w:tabs>
          <w:tab w:val="left" w:pos="-94"/>
          <w:tab w:val="left" w:pos="428"/>
        </w:tabs>
        <w:adjustRightInd w:val="0"/>
        <w:spacing w:line="360" w:lineRule="auto"/>
        <w:ind w:left="23" w:leftChars="11"/>
        <w:jc w:val="center"/>
        <w:textAlignment w:val="baseline"/>
        <w:outlineLvl w:val="1"/>
        <w:rPr>
          <w:b/>
          <w:color w:val="auto"/>
          <w:sz w:val="30"/>
          <w:szCs w:val="30"/>
          <w:highlight w:val="none"/>
        </w:rPr>
      </w:pPr>
      <w:r>
        <w:rPr>
          <w:b/>
          <w:color w:val="auto"/>
          <w:sz w:val="30"/>
          <w:szCs w:val="30"/>
          <w:highlight w:val="none"/>
        </w:rPr>
        <w:t>评分标准</w:t>
      </w:r>
    </w:p>
    <w:p>
      <w:pPr>
        <w:rPr>
          <w:bCs/>
          <w:color w:val="auto"/>
          <w:szCs w:val="21"/>
          <w:highlight w:val="none"/>
        </w:rPr>
      </w:pPr>
      <w:r>
        <w:rPr>
          <w:bCs/>
          <w:color w:val="auto"/>
          <w:szCs w:val="21"/>
          <w:highlight w:val="none"/>
        </w:rPr>
        <w:t>本项目满分为100分。综合得分保留小数点后2位。具体分值分配表如下：</w:t>
      </w:r>
    </w:p>
    <w:tbl>
      <w:tblPr>
        <w:tblStyle w:val="39"/>
        <w:tblW w:w="97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3"/>
        <w:gridCol w:w="1145"/>
        <w:gridCol w:w="1164"/>
        <w:gridCol w:w="564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blHeader/>
          <w:jc w:val="center"/>
        </w:trPr>
        <w:tc>
          <w:tcPr>
            <w:tcW w:w="693" w:type="dxa"/>
            <w:vAlign w:val="center"/>
          </w:tcPr>
          <w:p>
            <w:pPr>
              <w:adjustRightInd w:val="0"/>
              <w:snapToGrid w:val="0"/>
              <w:spacing w:line="360" w:lineRule="auto"/>
              <w:jc w:val="center"/>
              <w:rPr>
                <w:color w:val="auto"/>
                <w:highlight w:val="none"/>
              </w:rPr>
            </w:pPr>
            <w:r>
              <w:rPr>
                <w:color w:val="auto"/>
                <w:highlight w:val="none"/>
              </w:rPr>
              <w:t>序号</w:t>
            </w:r>
          </w:p>
        </w:tc>
        <w:tc>
          <w:tcPr>
            <w:tcW w:w="2309" w:type="dxa"/>
            <w:gridSpan w:val="2"/>
            <w:vAlign w:val="center"/>
          </w:tcPr>
          <w:p>
            <w:pPr>
              <w:adjustRightInd w:val="0"/>
              <w:snapToGrid w:val="0"/>
              <w:spacing w:line="360" w:lineRule="auto"/>
              <w:jc w:val="center"/>
              <w:rPr>
                <w:color w:val="auto"/>
                <w:highlight w:val="none"/>
              </w:rPr>
            </w:pPr>
            <w:r>
              <w:rPr>
                <w:color w:val="auto"/>
                <w:highlight w:val="none"/>
              </w:rPr>
              <w:t>评审因素</w:t>
            </w:r>
          </w:p>
        </w:tc>
        <w:tc>
          <w:tcPr>
            <w:tcW w:w="5640" w:type="dxa"/>
            <w:vAlign w:val="center"/>
          </w:tcPr>
          <w:p>
            <w:pPr>
              <w:adjustRightInd w:val="0"/>
              <w:snapToGrid w:val="0"/>
              <w:spacing w:line="360" w:lineRule="auto"/>
              <w:jc w:val="center"/>
              <w:rPr>
                <w:color w:val="auto"/>
                <w:highlight w:val="none"/>
              </w:rPr>
            </w:pPr>
            <w:r>
              <w:rPr>
                <w:color w:val="auto"/>
                <w:highlight w:val="none"/>
              </w:rPr>
              <w:t>评分标准</w:t>
            </w:r>
          </w:p>
        </w:tc>
        <w:tc>
          <w:tcPr>
            <w:tcW w:w="1080" w:type="dxa"/>
            <w:vAlign w:val="center"/>
          </w:tcPr>
          <w:p>
            <w:pPr>
              <w:jc w:val="center"/>
              <w:rPr>
                <w:rFonts w:hint="eastAsia" w:eastAsia="宋体"/>
                <w:color w:val="auto"/>
                <w:highlight w:val="none"/>
                <w:lang w:eastAsia="zh-CN"/>
              </w:rPr>
            </w:pPr>
            <w:r>
              <w:rPr>
                <w:rFonts w:hint="eastAsia"/>
                <w:color w:val="auto"/>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693" w:type="dxa"/>
            <w:vAlign w:val="center"/>
          </w:tcPr>
          <w:p>
            <w:pPr>
              <w:adjustRightInd w:val="0"/>
              <w:snapToGrid w:val="0"/>
              <w:spacing w:line="360" w:lineRule="auto"/>
              <w:rPr>
                <w:color w:val="auto"/>
                <w:highlight w:val="none"/>
              </w:rPr>
            </w:pPr>
            <w:r>
              <w:rPr>
                <w:color w:val="auto"/>
                <w:highlight w:val="none"/>
              </w:rPr>
              <w:t>1</w:t>
            </w:r>
          </w:p>
        </w:tc>
        <w:tc>
          <w:tcPr>
            <w:tcW w:w="2309" w:type="dxa"/>
            <w:gridSpan w:val="2"/>
            <w:vAlign w:val="center"/>
          </w:tcPr>
          <w:p>
            <w:pPr>
              <w:adjustRightInd w:val="0"/>
              <w:snapToGrid w:val="0"/>
              <w:spacing w:line="360" w:lineRule="auto"/>
              <w:rPr>
                <w:color w:val="auto"/>
                <w:highlight w:val="none"/>
              </w:rPr>
            </w:pPr>
            <w:r>
              <w:rPr>
                <w:color w:val="auto"/>
                <w:highlight w:val="none"/>
              </w:rPr>
              <w:t>价格部分(30分)</w:t>
            </w:r>
          </w:p>
        </w:tc>
        <w:tc>
          <w:tcPr>
            <w:tcW w:w="5640" w:type="dxa"/>
            <w:vAlign w:val="center"/>
          </w:tcPr>
          <w:p>
            <w:pPr>
              <w:adjustRightInd w:val="0"/>
              <w:snapToGrid w:val="0"/>
              <w:spacing w:line="360" w:lineRule="auto"/>
              <w:rPr>
                <w:color w:val="auto"/>
                <w:highlight w:val="none"/>
              </w:rPr>
            </w:pPr>
            <w:r>
              <w:rPr>
                <w:color w:val="auto"/>
                <w:highlight w:val="none"/>
              </w:rPr>
              <w:t>基准价= 实质性满足采购文件要求且价格最低的报价</w:t>
            </w:r>
          </w:p>
          <w:p>
            <w:pPr>
              <w:adjustRightInd w:val="0"/>
              <w:snapToGrid w:val="0"/>
              <w:spacing w:line="360" w:lineRule="auto"/>
              <w:rPr>
                <w:color w:val="auto"/>
                <w:highlight w:val="none"/>
              </w:rPr>
            </w:pPr>
            <w:r>
              <w:rPr>
                <w:color w:val="auto"/>
                <w:highlight w:val="none"/>
              </w:rPr>
              <w:t>报价得分=（基准价/报价）×30</w:t>
            </w:r>
          </w:p>
        </w:tc>
        <w:tc>
          <w:tcPr>
            <w:tcW w:w="1080" w:type="dxa"/>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693" w:type="dxa"/>
            <w:vMerge w:val="restart"/>
            <w:vAlign w:val="center"/>
          </w:tcPr>
          <w:p>
            <w:pPr>
              <w:adjustRightInd w:val="0"/>
              <w:snapToGrid w:val="0"/>
              <w:spacing w:line="360" w:lineRule="auto"/>
              <w:rPr>
                <w:color w:val="auto"/>
                <w:highlight w:val="none"/>
              </w:rPr>
            </w:pPr>
            <w:r>
              <w:rPr>
                <w:color w:val="auto"/>
                <w:highlight w:val="none"/>
              </w:rPr>
              <w:t>2</w:t>
            </w:r>
          </w:p>
        </w:tc>
        <w:tc>
          <w:tcPr>
            <w:tcW w:w="1145" w:type="dxa"/>
            <w:vMerge w:val="restart"/>
            <w:vAlign w:val="center"/>
          </w:tcPr>
          <w:p>
            <w:pPr>
              <w:adjustRightInd w:val="0"/>
              <w:snapToGrid w:val="0"/>
              <w:spacing w:line="360" w:lineRule="auto"/>
              <w:rPr>
                <w:color w:val="auto"/>
                <w:highlight w:val="none"/>
              </w:rPr>
            </w:pPr>
            <w:r>
              <w:rPr>
                <w:rFonts w:hint="eastAsia"/>
                <w:color w:val="auto"/>
                <w:highlight w:val="none"/>
                <w:lang w:val="en-US" w:eastAsia="zh-CN"/>
              </w:rPr>
              <w:t>技术</w:t>
            </w:r>
            <w:r>
              <w:rPr>
                <w:color w:val="auto"/>
                <w:highlight w:val="none"/>
              </w:rPr>
              <w:t>部分（</w:t>
            </w:r>
            <w:r>
              <w:rPr>
                <w:rFonts w:hint="eastAsia"/>
                <w:color w:val="auto"/>
                <w:highlight w:val="none"/>
                <w:lang w:val="en-US" w:eastAsia="zh-CN"/>
              </w:rPr>
              <w:t>45</w:t>
            </w:r>
            <w:r>
              <w:rPr>
                <w:color w:val="auto"/>
                <w:highlight w:val="none"/>
              </w:rPr>
              <w:t>分）</w:t>
            </w:r>
          </w:p>
        </w:tc>
        <w:tc>
          <w:tcPr>
            <w:tcW w:w="1164" w:type="dxa"/>
            <w:vAlign w:val="center"/>
          </w:tcPr>
          <w:p>
            <w:pPr>
              <w:adjustRightInd w:val="0"/>
              <w:snapToGrid w:val="0"/>
              <w:spacing w:line="360" w:lineRule="auto"/>
              <w:rPr>
                <w:color w:val="auto"/>
                <w:highlight w:val="none"/>
              </w:rPr>
            </w:pPr>
            <w:r>
              <w:rPr>
                <w:rFonts w:hint="eastAsia"/>
                <w:color w:val="auto"/>
                <w:highlight w:val="none"/>
              </w:rPr>
              <w:t>技术条款（30分）</w:t>
            </w:r>
          </w:p>
        </w:tc>
        <w:tc>
          <w:tcPr>
            <w:tcW w:w="5640" w:type="dxa"/>
            <w:vAlign w:val="center"/>
          </w:tcPr>
          <w:p>
            <w:pPr>
              <w:adjustRightInd w:val="0"/>
              <w:snapToGrid w:val="0"/>
              <w:spacing w:line="360" w:lineRule="auto"/>
              <w:rPr>
                <w:color w:val="auto"/>
                <w:highlight w:val="none"/>
              </w:rPr>
            </w:pPr>
            <w:r>
              <w:rPr>
                <w:rFonts w:hint="eastAsia"/>
                <w:color w:val="auto"/>
                <w:highlight w:val="none"/>
              </w:rPr>
              <w:t>1.起评分：</w:t>
            </w:r>
          </w:p>
          <w:p>
            <w:pPr>
              <w:adjustRightInd w:val="0"/>
              <w:snapToGrid w:val="0"/>
              <w:spacing w:line="360" w:lineRule="auto"/>
              <w:rPr>
                <w:color w:val="auto"/>
                <w:highlight w:val="none"/>
              </w:rPr>
            </w:pPr>
            <w:r>
              <w:rPr>
                <w:rFonts w:hint="eastAsia"/>
                <w:color w:val="auto"/>
                <w:highlight w:val="none"/>
              </w:rPr>
              <w:t>有效供应商的起评分为20分。</w:t>
            </w:r>
          </w:p>
          <w:p>
            <w:pPr>
              <w:adjustRightInd w:val="0"/>
              <w:snapToGrid w:val="0"/>
              <w:spacing w:line="360" w:lineRule="auto"/>
              <w:rPr>
                <w:color w:val="auto"/>
                <w:highlight w:val="none"/>
              </w:rPr>
            </w:pPr>
            <w:r>
              <w:rPr>
                <w:rFonts w:hint="eastAsia"/>
                <w:color w:val="auto"/>
                <w:highlight w:val="none"/>
              </w:rPr>
              <w:t>2.扣分条款：</w:t>
            </w:r>
          </w:p>
          <w:p>
            <w:pPr>
              <w:adjustRightInd w:val="0"/>
              <w:snapToGrid w:val="0"/>
              <w:spacing w:line="360" w:lineRule="auto"/>
              <w:rPr>
                <w:color w:val="auto"/>
                <w:highlight w:val="none"/>
              </w:rPr>
            </w:pPr>
            <w:r>
              <w:rPr>
                <w:rFonts w:hint="eastAsia"/>
                <w:color w:val="auto"/>
                <w:highlight w:val="none"/>
              </w:rPr>
              <w:t>2.1响应文件的响应应答有一条不满足本评比文件第四章“2.项目技术及质量要求“中技术需求的，每负偏离一条扣3分，扣完为止。</w:t>
            </w:r>
          </w:p>
          <w:p>
            <w:pPr>
              <w:adjustRightInd w:val="0"/>
              <w:snapToGrid w:val="0"/>
              <w:spacing w:line="360" w:lineRule="auto"/>
              <w:rPr>
                <w:color w:val="auto"/>
                <w:highlight w:val="none"/>
              </w:rPr>
            </w:pPr>
            <w:r>
              <w:rPr>
                <w:rFonts w:hint="eastAsia"/>
                <w:color w:val="auto"/>
                <w:highlight w:val="none"/>
              </w:rPr>
              <w:t>3. 加分条款</w:t>
            </w:r>
          </w:p>
          <w:p>
            <w:pPr>
              <w:adjustRightInd w:val="0"/>
              <w:snapToGrid w:val="0"/>
              <w:spacing w:line="360" w:lineRule="auto"/>
              <w:rPr>
                <w:color w:val="auto"/>
                <w:highlight w:val="none"/>
              </w:rPr>
            </w:pPr>
            <w:r>
              <w:rPr>
                <w:rFonts w:hint="eastAsia"/>
                <w:color w:val="auto"/>
                <w:highlight w:val="none"/>
              </w:rPr>
              <w:t>3.1本评比文件第四章“</w:t>
            </w:r>
            <w:r>
              <w:rPr>
                <w:rFonts w:hint="eastAsia"/>
                <w:color w:val="auto"/>
                <w:highlight w:val="none"/>
                <w:lang w:val="en-US" w:eastAsia="zh-CN"/>
              </w:rPr>
              <w:t>二</w:t>
            </w:r>
            <w:r>
              <w:rPr>
                <w:rFonts w:hint="eastAsia"/>
                <w:color w:val="auto"/>
                <w:highlight w:val="none"/>
              </w:rPr>
              <w:t>.项目技术及质量要求“的技术需求，每正偏离一条加2分，最多可以加10分。</w:t>
            </w:r>
          </w:p>
          <w:p>
            <w:pPr>
              <w:adjustRightInd w:val="0"/>
              <w:snapToGrid w:val="0"/>
              <w:spacing w:line="360" w:lineRule="auto"/>
              <w:rPr>
                <w:color w:val="auto"/>
                <w:highlight w:val="none"/>
              </w:rPr>
            </w:pPr>
            <w:r>
              <w:rPr>
                <w:rFonts w:hint="eastAsia"/>
                <w:color w:val="auto"/>
                <w:highlight w:val="none"/>
              </w:rPr>
              <w:t>注：正偏离部分须提供技术支撑材料，技术支撑材料可以是制造商公开发布且含有技术参数的印刷资料或检测机构出具的检测报告或制造商官方网站公开发布的技术文件或评审专家认可的证明材料,提供相关材料复印件并加盖供应商公章。</w:t>
            </w:r>
          </w:p>
        </w:tc>
        <w:tc>
          <w:tcPr>
            <w:tcW w:w="1080" w:type="dxa"/>
            <w:vAlign w:val="center"/>
          </w:tcPr>
          <w:p>
            <w:pPr>
              <w:adjustRightInd w:val="0"/>
              <w:snapToGrid w:val="0"/>
              <w:spacing w:line="360" w:lineRule="auto"/>
              <w:rPr>
                <w:color w:val="auto"/>
                <w:highlight w:val="none"/>
              </w:rPr>
            </w:pPr>
            <w:r>
              <w:rPr>
                <w:rFonts w:hint="eastAsia"/>
                <w:color w:val="auto"/>
                <w:highlight w:val="none"/>
              </w:rPr>
              <w:t>供应商应完整填写本评比文件第五篇中“技术响应偏离表“，未填写或填写不完整，技术条款得0分。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693" w:type="dxa"/>
            <w:vMerge w:val="continue"/>
            <w:vAlign w:val="center"/>
          </w:tcPr>
          <w:p>
            <w:pPr>
              <w:adjustRightInd w:val="0"/>
              <w:snapToGrid w:val="0"/>
              <w:spacing w:line="360" w:lineRule="auto"/>
              <w:rPr>
                <w:color w:val="auto"/>
                <w:highlight w:val="none"/>
              </w:rPr>
            </w:pPr>
          </w:p>
        </w:tc>
        <w:tc>
          <w:tcPr>
            <w:tcW w:w="1145" w:type="dxa"/>
            <w:vMerge w:val="continue"/>
            <w:vAlign w:val="center"/>
          </w:tcPr>
          <w:p>
            <w:pPr>
              <w:adjustRightInd w:val="0"/>
              <w:snapToGrid w:val="0"/>
              <w:spacing w:line="360" w:lineRule="auto"/>
              <w:rPr>
                <w:color w:val="auto"/>
                <w:highlight w:val="none"/>
              </w:rPr>
            </w:pPr>
          </w:p>
        </w:tc>
        <w:tc>
          <w:tcPr>
            <w:tcW w:w="1164" w:type="dxa"/>
            <w:vAlign w:val="center"/>
          </w:tcPr>
          <w:p>
            <w:pPr>
              <w:adjustRightInd w:val="0"/>
              <w:snapToGrid w:val="0"/>
              <w:spacing w:line="360" w:lineRule="auto"/>
              <w:rPr>
                <w:color w:val="auto"/>
                <w:highlight w:val="none"/>
              </w:rPr>
            </w:pPr>
            <w:r>
              <w:rPr>
                <w:rFonts w:hint="eastAsia"/>
                <w:color w:val="auto"/>
                <w:highlight w:val="none"/>
              </w:rPr>
              <w:t>技术服务方案（15分）</w:t>
            </w:r>
          </w:p>
        </w:tc>
        <w:tc>
          <w:tcPr>
            <w:tcW w:w="5640" w:type="dxa"/>
            <w:vAlign w:val="center"/>
          </w:tcPr>
          <w:p>
            <w:pPr>
              <w:adjustRightInd w:val="0"/>
              <w:snapToGrid w:val="0"/>
              <w:spacing w:line="360" w:lineRule="auto"/>
              <w:rPr>
                <w:color w:val="auto"/>
                <w:highlight w:val="none"/>
              </w:rPr>
            </w:pPr>
            <w:r>
              <w:rPr>
                <w:rFonts w:hint="eastAsia"/>
                <w:color w:val="auto"/>
                <w:highlight w:val="none"/>
              </w:rPr>
              <w:t>对各供应商项目技术服务方案的完整性、合理性、可操作性（包含质量保证计划、突发事件处置方案、以及本项目实施过程中的人员服务保障、技术保障、进度和安全保障等）进行综合评审：技术服务方案具有完整性、合理性，可操作性高的得15分；技术服务方案仅具有完整性和合理性的得10分；技术服务方案仅具有合理性的得5分；未提供不得分。</w:t>
            </w:r>
          </w:p>
        </w:tc>
        <w:tc>
          <w:tcPr>
            <w:tcW w:w="1080" w:type="dxa"/>
            <w:vAlign w:val="center"/>
          </w:tcPr>
          <w:p>
            <w:pPr>
              <w:adjustRightInd w:val="0"/>
              <w:snapToGrid w:val="0"/>
              <w:spacing w:line="360" w:lineRule="auto"/>
              <w:rPr>
                <w:color w:val="auto"/>
                <w:highlight w:val="none"/>
              </w:rPr>
            </w:pPr>
            <w:r>
              <w:rPr>
                <w:rFonts w:hint="eastAsia"/>
                <w:color w:val="auto"/>
                <w:highlight w:val="none"/>
              </w:rPr>
              <w:t>供应商提供技术服务方案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9722" w:type="dxa"/>
            <w:gridSpan w:val="5"/>
            <w:vAlign w:val="center"/>
          </w:tcPr>
          <w:p>
            <w:pPr>
              <w:adjustRightInd w:val="0"/>
              <w:snapToGrid w:val="0"/>
              <w:spacing w:line="360" w:lineRule="auto"/>
              <w:rPr>
                <w:rFonts w:hint="eastAsia"/>
                <w:color w:val="auto"/>
                <w:highlight w:val="none"/>
              </w:rPr>
            </w:pPr>
            <w:r>
              <w:rPr>
                <w:rFonts w:hint="eastAsia"/>
                <w:color w:val="auto"/>
                <w:highlight w:val="none"/>
              </w:rPr>
              <w:t>供应商的应答应满足评比文件第四章“</w:t>
            </w:r>
            <w:r>
              <w:rPr>
                <w:rFonts w:hint="eastAsia"/>
                <w:color w:val="auto"/>
                <w:highlight w:val="none"/>
                <w:lang w:val="en-US" w:eastAsia="zh-CN"/>
              </w:rPr>
              <w:t>三</w:t>
            </w:r>
            <w:r>
              <w:rPr>
                <w:rFonts w:hint="eastAsia"/>
                <w:color w:val="auto"/>
                <w:highlight w:val="none"/>
              </w:rPr>
              <w:t>.商务要求”中的全部内容，有一条不满足的，商务部分得分为0分，不再进入商务部分的评审。供应商应完整填写本评比文件第五篇中“商务响应偏离表“。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5" w:hRule="atLeast"/>
          <w:jc w:val="center"/>
        </w:trPr>
        <w:tc>
          <w:tcPr>
            <w:tcW w:w="693" w:type="dxa"/>
            <w:vMerge w:val="restart"/>
            <w:vAlign w:val="center"/>
          </w:tcPr>
          <w:p>
            <w:pPr>
              <w:adjustRightInd w:val="0"/>
              <w:snapToGrid w:val="0"/>
              <w:spacing w:line="360" w:lineRule="auto"/>
              <w:rPr>
                <w:color w:val="auto"/>
                <w:highlight w:val="none"/>
              </w:rPr>
            </w:pPr>
            <w:r>
              <w:rPr>
                <w:color w:val="auto"/>
                <w:highlight w:val="none"/>
              </w:rPr>
              <w:t>3</w:t>
            </w:r>
          </w:p>
        </w:tc>
        <w:tc>
          <w:tcPr>
            <w:tcW w:w="1145" w:type="dxa"/>
            <w:vMerge w:val="restart"/>
            <w:vAlign w:val="center"/>
          </w:tcPr>
          <w:p>
            <w:pPr>
              <w:adjustRightInd w:val="0"/>
              <w:snapToGrid w:val="0"/>
              <w:spacing w:line="360" w:lineRule="auto"/>
              <w:rPr>
                <w:color w:val="auto"/>
                <w:highlight w:val="none"/>
              </w:rPr>
            </w:pPr>
            <w:r>
              <w:rPr>
                <w:rFonts w:hint="eastAsia"/>
                <w:color w:val="auto"/>
                <w:highlight w:val="none"/>
                <w:lang w:val="en-US" w:eastAsia="zh-CN"/>
              </w:rPr>
              <w:t>商务</w:t>
            </w:r>
            <w:r>
              <w:rPr>
                <w:color w:val="auto"/>
                <w:highlight w:val="none"/>
              </w:rPr>
              <w:t>部分（</w:t>
            </w:r>
            <w:r>
              <w:rPr>
                <w:rFonts w:hint="eastAsia"/>
                <w:color w:val="auto"/>
                <w:highlight w:val="none"/>
                <w:lang w:val="en-US" w:eastAsia="zh-CN"/>
              </w:rPr>
              <w:t>25</w:t>
            </w:r>
            <w:r>
              <w:rPr>
                <w:color w:val="auto"/>
                <w:highlight w:val="none"/>
              </w:rPr>
              <w:t>分）</w:t>
            </w:r>
          </w:p>
        </w:tc>
        <w:tc>
          <w:tcPr>
            <w:tcW w:w="1164" w:type="dxa"/>
            <w:vMerge w:val="restart"/>
            <w:vAlign w:val="center"/>
          </w:tcPr>
          <w:p>
            <w:pPr>
              <w:adjustRightInd w:val="0"/>
              <w:snapToGrid w:val="0"/>
              <w:spacing w:line="360" w:lineRule="auto"/>
              <w:jc w:val="center"/>
              <w:rPr>
                <w:rFonts w:hint="eastAsia"/>
                <w:color w:val="auto"/>
                <w:highlight w:val="none"/>
                <w:lang w:val="en-US" w:eastAsia="zh-CN"/>
              </w:rPr>
            </w:pPr>
            <w:r>
              <w:rPr>
                <w:rFonts w:hint="eastAsia"/>
                <w:color w:val="auto"/>
                <w:highlight w:val="none"/>
                <w:lang w:val="en-US" w:eastAsia="zh-CN"/>
              </w:rPr>
              <w:t>售后服务（10分）</w:t>
            </w:r>
          </w:p>
        </w:tc>
        <w:tc>
          <w:tcPr>
            <w:tcW w:w="5640" w:type="dxa"/>
            <w:vAlign w:val="center"/>
          </w:tcPr>
          <w:p>
            <w:pPr>
              <w:adjustRightInd w:val="0"/>
              <w:snapToGrid w:val="0"/>
              <w:spacing w:line="360" w:lineRule="auto"/>
              <w:rPr>
                <w:rFonts w:hint="eastAsia"/>
                <w:color w:val="auto"/>
                <w:highlight w:val="none"/>
                <w:lang w:val="en-US" w:eastAsia="zh-CN"/>
              </w:rPr>
            </w:pPr>
            <w:r>
              <w:rPr>
                <w:rFonts w:hint="eastAsia"/>
                <w:color w:val="auto"/>
                <w:highlight w:val="none"/>
                <w:lang w:val="en-US" w:eastAsia="zh-CN"/>
              </w:rPr>
              <w:t>1．售后服务方案（5分）</w:t>
            </w:r>
          </w:p>
          <w:p>
            <w:pPr>
              <w:adjustRightInd w:val="0"/>
              <w:snapToGrid w:val="0"/>
              <w:spacing w:line="360" w:lineRule="auto"/>
              <w:rPr>
                <w:rFonts w:hint="eastAsia"/>
                <w:color w:val="auto"/>
                <w:highlight w:val="none"/>
                <w:lang w:val="en-US" w:eastAsia="zh-CN"/>
              </w:rPr>
            </w:pPr>
            <w:r>
              <w:rPr>
                <w:rFonts w:hint="eastAsia"/>
                <w:color w:val="auto"/>
                <w:highlight w:val="none"/>
                <w:lang w:val="en-US" w:eastAsia="zh-CN"/>
              </w:rPr>
              <w:t>针对质量保证期内的售后服务，在满足评比文件的基础上，供应商提供了完整详细的售后服务方案且针对性强，可行性好、响应时间、质保期、培训计划完整，充分满足项目需求得5分；供应商提供了简单通用的方案，培训计划较完整得3分；供应商提供的方案有缺陷得1分；未提供不得分。</w:t>
            </w:r>
          </w:p>
          <w:p>
            <w:pPr>
              <w:adjustRightInd w:val="0"/>
              <w:snapToGrid w:val="0"/>
              <w:spacing w:line="360" w:lineRule="auto"/>
              <w:rPr>
                <w:rFonts w:hint="eastAsia"/>
                <w:color w:val="auto"/>
                <w:highlight w:val="none"/>
                <w:lang w:val="en-US" w:eastAsia="zh-CN"/>
              </w:rPr>
            </w:pPr>
          </w:p>
        </w:tc>
        <w:tc>
          <w:tcPr>
            <w:tcW w:w="1080" w:type="dxa"/>
            <w:vAlign w:val="center"/>
          </w:tcPr>
          <w:p>
            <w:pPr>
              <w:adjustRightInd w:val="0"/>
              <w:snapToGrid w:val="0"/>
              <w:spacing w:line="360" w:lineRule="auto"/>
              <w:rPr>
                <w:rFonts w:hint="eastAsia"/>
                <w:color w:val="auto"/>
                <w:highlight w:val="none"/>
                <w:lang w:val="en-US" w:eastAsia="zh-CN"/>
              </w:rPr>
            </w:pPr>
            <w:r>
              <w:rPr>
                <w:rFonts w:hint="eastAsia"/>
                <w:color w:val="auto"/>
                <w:highlight w:val="none"/>
                <w:lang w:val="en-US" w:eastAsia="zh-CN"/>
              </w:rPr>
              <w:t>提供售后服务方案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8" w:hRule="atLeast"/>
          <w:jc w:val="center"/>
        </w:trPr>
        <w:tc>
          <w:tcPr>
            <w:tcW w:w="693" w:type="dxa"/>
            <w:vMerge w:val="continue"/>
            <w:vAlign w:val="center"/>
          </w:tcPr>
          <w:p>
            <w:pPr>
              <w:adjustRightInd w:val="0"/>
              <w:snapToGrid w:val="0"/>
              <w:spacing w:line="360" w:lineRule="auto"/>
              <w:rPr>
                <w:color w:val="auto"/>
                <w:highlight w:val="none"/>
              </w:rPr>
            </w:pPr>
          </w:p>
        </w:tc>
        <w:tc>
          <w:tcPr>
            <w:tcW w:w="1145" w:type="dxa"/>
            <w:vMerge w:val="continue"/>
            <w:vAlign w:val="center"/>
          </w:tcPr>
          <w:p>
            <w:pPr>
              <w:adjustRightInd w:val="0"/>
              <w:snapToGrid w:val="0"/>
              <w:spacing w:line="360" w:lineRule="auto"/>
              <w:rPr>
                <w:rFonts w:hint="eastAsia"/>
                <w:color w:val="auto"/>
                <w:highlight w:val="none"/>
                <w:lang w:val="en-US" w:eastAsia="zh-CN"/>
              </w:rPr>
            </w:pPr>
          </w:p>
        </w:tc>
        <w:tc>
          <w:tcPr>
            <w:tcW w:w="1164" w:type="dxa"/>
            <w:vMerge w:val="continue"/>
            <w:vAlign w:val="center"/>
          </w:tcPr>
          <w:p>
            <w:pPr>
              <w:adjustRightInd w:val="0"/>
              <w:snapToGrid w:val="0"/>
              <w:spacing w:line="360" w:lineRule="auto"/>
              <w:jc w:val="center"/>
              <w:rPr>
                <w:rFonts w:hint="eastAsia"/>
                <w:color w:val="auto"/>
                <w:highlight w:val="none"/>
                <w:lang w:val="en-US" w:eastAsia="zh-CN"/>
              </w:rPr>
            </w:pPr>
          </w:p>
        </w:tc>
        <w:tc>
          <w:tcPr>
            <w:tcW w:w="5640" w:type="dxa"/>
            <w:vAlign w:val="center"/>
          </w:tcPr>
          <w:p>
            <w:pPr>
              <w:adjustRightInd w:val="0"/>
              <w:snapToGrid w:val="0"/>
              <w:spacing w:line="360" w:lineRule="auto"/>
              <w:rPr>
                <w:rFonts w:hint="eastAsia"/>
                <w:color w:val="auto"/>
                <w:highlight w:val="none"/>
                <w:lang w:val="en-US" w:eastAsia="zh-CN"/>
              </w:rPr>
            </w:pPr>
            <w:r>
              <w:rPr>
                <w:rFonts w:hint="eastAsia"/>
                <w:color w:val="auto"/>
                <w:highlight w:val="none"/>
                <w:lang w:val="en-US" w:eastAsia="zh-CN"/>
              </w:rPr>
              <w:t>2.备品备件及易损件（5分）</w:t>
            </w:r>
          </w:p>
          <w:p>
            <w:pPr>
              <w:adjustRightInd w:val="0"/>
              <w:snapToGrid w:val="0"/>
              <w:spacing w:line="360" w:lineRule="auto"/>
              <w:rPr>
                <w:rFonts w:hint="eastAsia"/>
                <w:color w:val="auto"/>
                <w:highlight w:val="none"/>
                <w:lang w:val="en-US" w:eastAsia="zh-CN"/>
              </w:rPr>
            </w:pPr>
            <w:r>
              <w:rPr>
                <w:rFonts w:hint="eastAsia"/>
                <w:color w:val="auto"/>
                <w:highlight w:val="none"/>
                <w:lang w:val="en-US" w:eastAsia="zh-CN"/>
              </w:rPr>
              <w:t>供应商按评比文件的要求提供备品备件及易损件的清单，根据常用的、容易损坏的备品备件及易损件配备的齐全程度及价格的合理性进行评分，配备齐全且价格合理得5分，配备较齐全且价格较合理得3分，配备较齐全且价格不合理1分。未提供不得分。</w:t>
            </w:r>
          </w:p>
        </w:tc>
        <w:tc>
          <w:tcPr>
            <w:tcW w:w="1080" w:type="dxa"/>
            <w:vAlign w:val="center"/>
          </w:tcPr>
          <w:p>
            <w:pPr>
              <w:adjustRightInd w:val="0"/>
              <w:snapToGrid w:val="0"/>
              <w:spacing w:line="360" w:lineRule="auto"/>
              <w:rPr>
                <w:rFonts w:hint="eastAsia"/>
                <w:color w:val="auto"/>
                <w:highlight w:val="none"/>
                <w:lang w:val="en-US" w:eastAsia="zh-CN"/>
              </w:rPr>
            </w:pPr>
            <w:r>
              <w:rPr>
                <w:rFonts w:hint="eastAsia"/>
                <w:color w:val="auto"/>
                <w:highlight w:val="none"/>
                <w:lang w:val="en-US" w:eastAsia="zh-CN"/>
              </w:rPr>
              <w:t>提供备品备件及易损件配置清单及价格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693" w:type="dxa"/>
            <w:vMerge w:val="continue"/>
            <w:vAlign w:val="center"/>
          </w:tcPr>
          <w:p>
            <w:pPr>
              <w:adjustRightInd w:val="0"/>
              <w:snapToGrid w:val="0"/>
              <w:spacing w:line="360" w:lineRule="auto"/>
              <w:rPr>
                <w:color w:val="auto"/>
                <w:highlight w:val="none"/>
              </w:rPr>
            </w:pPr>
          </w:p>
        </w:tc>
        <w:tc>
          <w:tcPr>
            <w:tcW w:w="1145" w:type="dxa"/>
            <w:vMerge w:val="continue"/>
            <w:vAlign w:val="center"/>
          </w:tcPr>
          <w:p>
            <w:pPr>
              <w:adjustRightInd w:val="0"/>
              <w:snapToGrid w:val="0"/>
              <w:spacing w:line="360" w:lineRule="auto"/>
              <w:rPr>
                <w:color w:val="auto"/>
                <w:highlight w:val="none"/>
              </w:rPr>
            </w:pPr>
          </w:p>
        </w:tc>
        <w:tc>
          <w:tcPr>
            <w:tcW w:w="1164" w:type="dxa"/>
            <w:vAlign w:val="center"/>
          </w:tcPr>
          <w:p>
            <w:pPr>
              <w:adjustRightInd w:val="0"/>
              <w:snapToGrid w:val="0"/>
              <w:spacing w:line="360" w:lineRule="auto"/>
              <w:jc w:val="center"/>
              <w:rPr>
                <w:rFonts w:hint="eastAsia"/>
                <w:color w:val="auto"/>
                <w:highlight w:val="none"/>
                <w:lang w:val="en-US" w:eastAsia="zh-CN"/>
              </w:rPr>
            </w:pPr>
            <w:r>
              <w:rPr>
                <w:rFonts w:hint="eastAsia"/>
                <w:color w:val="auto"/>
                <w:highlight w:val="none"/>
                <w:lang w:val="en-US" w:eastAsia="zh-CN"/>
              </w:rPr>
              <w:t>质保期</w:t>
            </w:r>
          </w:p>
          <w:p>
            <w:pPr>
              <w:adjustRightInd w:val="0"/>
              <w:snapToGrid w:val="0"/>
              <w:spacing w:line="360" w:lineRule="auto"/>
              <w:jc w:val="center"/>
              <w:rPr>
                <w:rFonts w:hint="eastAsia"/>
                <w:color w:val="auto"/>
                <w:highlight w:val="none"/>
                <w:lang w:val="en-US" w:eastAsia="zh-CN"/>
              </w:rPr>
            </w:pPr>
            <w:r>
              <w:rPr>
                <w:rFonts w:hint="eastAsia"/>
                <w:color w:val="auto"/>
                <w:highlight w:val="none"/>
                <w:lang w:val="en-US" w:eastAsia="zh-CN"/>
              </w:rPr>
              <w:t>（4分）</w:t>
            </w:r>
          </w:p>
        </w:tc>
        <w:tc>
          <w:tcPr>
            <w:tcW w:w="5640" w:type="dxa"/>
            <w:vAlign w:val="center"/>
          </w:tcPr>
          <w:p>
            <w:pPr>
              <w:adjustRightInd w:val="0"/>
              <w:snapToGrid w:val="0"/>
              <w:spacing w:line="360" w:lineRule="auto"/>
              <w:rPr>
                <w:rFonts w:hint="eastAsia"/>
                <w:color w:val="auto"/>
                <w:highlight w:val="none"/>
                <w:lang w:val="en-US" w:eastAsia="zh-CN"/>
              </w:rPr>
            </w:pPr>
            <w:r>
              <w:rPr>
                <w:rFonts w:hint="eastAsia"/>
                <w:color w:val="auto"/>
                <w:highlight w:val="none"/>
                <w:lang w:val="en-US" w:eastAsia="zh-CN"/>
              </w:rPr>
              <w:t>质保期在满足评比文件要的前提下，每增加壹年加2分，最多可加4分。</w:t>
            </w:r>
          </w:p>
        </w:tc>
        <w:tc>
          <w:tcPr>
            <w:tcW w:w="1080" w:type="dxa"/>
            <w:vAlign w:val="center"/>
          </w:tcPr>
          <w:p>
            <w:pPr>
              <w:adjustRightInd w:val="0"/>
              <w:snapToGrid w:val="0"/>
              <w:spacing w:line="360" w:lineRule="auto"/>
              <w:rPr>
                <w:rFonts w:hint="eastAsia"/>
                <w:color w:val="auto"/>
                <w:highlight w:val="none"/>
                <w:lang w:val="en-US" w:eastAsia="zh-CN"/>
              </w:rPr>
            </w:pPr>
            <w:r>
              <w:rPr>
                <w:rFonts w:hint="eastAsia"/>
                <w:color w:val="auto"/>
                <w:highlight w:val="none"/>
                <w:lang w:val="en-US" w:eastAsia="zh-CN"/>
              </w:rPr>
              <w:t>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jc w:val="center"/>
        </w:trPr>
        <w:tc>
          <w:tcPr>
            <w:tcW w:w="693" w:type="dxa"/>
            <w:vMerge w:val="continue"/>
            <w:vAlign w:val="center"/>
          </w:tcPr>
          <w:p>
            <w:pPr>
              <w:adjustRightInd w:val="0"/>
              <w:snapToGrid w:val="0"/>
              <w:spacing w:line="360" w:lineRule="auto"/>
              <w:rPr>
                <w:color w:val="auto"/>
                <w:highlight w:val="none"/>
              </w:rPr>
            </w:pPr>
          </w:p>
        </w:tc>
        <w:tc>
          <w:tcPr>
            <w:tcW w:w="1145" w:type="dxa"/>
            <w:vMerge w:val="continue"/>
            <w:vAlign w:val="center"/>
          </w:tcPr>
          <w:p>
            <w:pPr>
              <w:adjustRightInd w:val="0"/>
              <w:snapToGrid w:val="0"/>
              <w:spacing w:line="360" w:lineRule="auto"/>
              <w:rPr>
                <w:color w:val="auto"/>
                <w:highlight w:val="none"/>
              </w:rPr>
            </w:pPr>
          </w:p>
        </w:tc>
        <w:tc>
          <w:tcPr>
            <w:tcW w:w="1164" w:type="dxa"/>
            <w:vAlign w:val="center"/>
          </w:tcPr>
          <w:p>
            <w:pPr>
              <w:adjustRightInd w:val="0"/>
              <w:snapToGrid w:val="0"/>
              <w:spacing w:line="360" w:lineRule="auto"/>
              <w:jc w:val="center"/>
              <w:rPr>
                <w:rFonts w:hint="eastAsia"/>
                <w:color w:val="auto"/>
                <w:highlight w:val="none"/>
                <w:lang w:val="en-US" w:eastAsia="zh-CN"/>
              </w:rPr>
            </w:pPr>
            <w:r>
              <w:rPr>
                <w:rFonts w:hint="eastAsia"/>
                <w:color w:val="auto"/>
                <w:highlight w:val="none"/>
                <w:lang w:val="en-US" w:eastAsia="zh-CN"/>
              </w:rPr>
              <w:t>培训方案</w:t>
            </w:r>
          </w:p>
          <w:p>
            <w:pPr>
              <w:adjustRightInd w:val="0"/>
              <w:snapToGrid w:val="0"/>
              <w:spacing w:line="360" w:lineRule="auto"/>
              <w:jc w:val="center"/>
              <w:rPr>
                <w:rFonts w:hint="eastAsia"/>
                <w:color w:val="auto"/>
                <w:highlight w:val="none"/>
                <w:lang w:val="en-US" w:eastAsia="zh-CN"/>
              </w:rPr>
            </w:pPr>
            <w:r>
              <w:rPr>
                <w:rFonts w:hint="eastAsia"/>
                <w:color w:val="auto"/>
                <w:highlight w:val="none"/>
                <w:lang w:val="en-US" w:eastAsia="zh-CN"/>
              </w:rPr>
              <w:t>（6分）</w:t>
            </w:r>
          </w:p>
        </w:tc>
        <w:tc>
          <w:tcPr>
            <w:tcW w:w="5640" w:type="dxa"/>
            <w:vAlign w:val="center"/>
          </w:tcPr>
          <w:p>
            <w:pPr>
              <w:adjustRightInd w:val="0"/>
              <w:snapToGrid w:val="0"/>
              <w:spacing w:line="360" w:lineRule="auto"/>
              <w:rPr>
                <w:rFonts w:hint="eastAsia"/>
                <w:color w:val="auto"/>
                <w:highlight w:val="none"/>
                <w:lang w:val="en-US" w:eastAsia="zh-CN"/>
              </w:rPr>
            </w:pPr>
            <w:r>
              <w:rPr>
                <w:rFonts w:hint="eastAsia"/>
                <w:color w:val="auto"/>
                <w:highlight w:val="none"/>
                <w:lang w:val="en-US" w:eastAsia="zh-CN"/>
              </w:rPr>
              <w:t>供应商在满足评比文件的要求下，提供更详细的培训方案，对产品操作、使用进行培训，内容可包含培训内容、培训课时、培训地点、培训人数、师资力量等。</w:t>
            </w:r>
          </w:p>
          <w:p>
            <w:pPr>
              <w:adjustRightInd w:val="0"/>
              <w:snapToGrid w:val="0"/>
              <w:spacing w:line="360" w:lineRule="auto"/>
              <w:rPr>
                <w:rFonts w:hint="eastAsia"/>
                <w:color w:val="auto"/>
                <w:highlight w:val="none"/>
                <w:lang w:val="en-US" w:eastAsia="zh-CN"/>
              </w:rPr>
            </w:pPr>
            <w:r>
              <w:rPr>
                <w:rFonts w:hint="eastAsia"/>
                <w:color w:val="auto"/>
                <w:highlight w:val="none"/>
                <w:lang w:val="en-US" w:eastAsia="zh-CN"/>
              </w:rPr>
              <w:t>方案有针对性，符合项目实际情况且表述清晰有逻辑性的为优，得6分；方案有针对性，符合项目实际情况且表述清晰有逻辑性，但稍有不足的为良，得4分；方案基本符合项目情况，有针对性但逻辑性和表述有欠缺的，为一般，得2分；未提供不得分。</w:t>
            </w:r>
          </w:p>
        </w:tc>
        <w:tc>
          <w:tcPr>
            <w:tcW w:w="1080" w:type="dxa"/>
            <w:vAlign w:val="center"/>
          </w:tcPr>
          <w:p>
            <w:pPr>
              <w:adjustRightInd w:val="0"/>
              <w:snapToGrid w:val="0"/>
              <w:spacing w:line="360" w:lineRule="auto"/>
              <w:rPr>
                <w:rFonts w:hint="eastAsia"/>
                <w:color w:val="auto"/>
                <w:highlight w:val="none"/>
                <w:lang w:val="en-US" w:eastAsia="zh-CN"/>
              </w:rPr>
            </w:pPr>
            <w:r>
              <w:rPr>
                <w:rFonts w:hint="eastAsia"/>
                <w:color w:val="auto"/>
                <w:highlight w:val="none"/>
                <w:lang w:val="en-US" w:eastAsia="zh-CN"/>
              </w:rPr>
              <w:t>提供培训方案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693" w:type="dxa"/>
            <w:vMerge w:val="continue"/>
            <w:vAlign w:val="center"/>
          </w:tcPr>
          <w:p>
            <w:pPr>
              <w:adjustRightInd w:val="0"/>
              <w:snapToGrid w:val="0"/>
              <w:spacing w:line="360" w:lineRule="auto"/>
              <w:rPr>
                <w:color w:val="auto"/>
                <w:highlight w:val="none"/>
              </w:rPr>
            </w:pPr>
          </w:p>
        </w:tc>
        <w:tc>
          <w:tcPr>
            <w:tcW w:w="1145" w:type="dxa"/>
            <w:vMerge w:val="continue"/>
            <w:vAlign w:val="center"/>
          </w:tcPr>
          <w:p>
            <w:pPr>
              <w:adjustRightInd w:val="0"/>
              <w:snapToGrid w:val="0"/>
              <w:spacing w:line="360" w:lineRule="auto"/>
              <w:rPr>
                <w:color w:val="auto"/>
                <w:highlight w:val="none"/>
              </w:rPr>
            </w:pPr>
          </w:p>
        </w:tc>
        <w:tc>
          <w:tcPr>
            <w:tcW w:w="1164" w:type="dxa"/>
            <w:vAlign w:val="center"/>
          </w:tcPr>
          <w:p>
            <w:pPr>
              <w:adjustRightInd w:val="0"/>
              <w:snapToGrid w:val="0"/>
              <w:spacing w:line="360" w:lineRule="auto"/>
              <w:jc w:val="center"/>
              <w:rPr>
                <w:rFonts w:hint="eastAsia"/>
                <w:color w:val="auto"/>
                <w:highlight w:val="none"/>
                <w:lang w:val="en-US" w:eastAsia="zh-CN"/>
              </w:rPr>
            </w:pPr>
            <w:r>
              <w:rPr>
                <w:rFonts w:hint="eastAsia"/>
                <w:color w:val="auto"/>
                <w:highlight w:val="none"/>
                <w:lang w:val="en-US" w:eastAsia="zh-CN"/>
              </w:rPr>
              <w:t>业绩</w:t>
            </w:r>
          </w:p>
          <w:p>
            <w:pPr>
              <w:adjustRightInd w:val="0"/>
              <w:snapToGrid w:val="0"/>
              <w:spacing w:line="360" w:lineRule="auto"/>
              <w:jc w:val="center"/>
              <w:rPr>
                <w:rFonts w:hint="eastAsia"/>
                <w:color w:val="auto"/>
                <w:highlight w:val="none"/>
                <w:lang w:val="en-US" w:eastAsia="zh-CN"/>
              </w:rPr>
            </w:pPr>
            <w:r>
              <w:rPr>
                <w:rFonts w:hint="eastAsia"/>
                <w:color w:val="auto"/>
                <w:highlight w:val="none"/>
                <w:lang w:val="en-US" w:eastAsia="zh-CN"/>
              </w:rPr>
              <w:t>（5分）</w:t>
            </w:r>
          </w:p>
        </w:tc>
        <w:tc>
          <w:tcPr>
            <w:tcW w:w="5640" w:type="dxa"/>
            <w:vAlign w:val="center"/>
          </w:tcPr>
          <w:p>
            <w:pPr>
              <w:adjustRightInd w:val="0"/>
              <w:snapToGrid w:val="0"/>
              <w:spacing w:line="360" w:lineRule="auto"/>
              <w:rPr>
                <w:rFonts w:hint="eastAsia"/>
                <w:color w:val="auto"/>
                <w:highlight w:val="none"/>
                <w:lang w:val="en-US" w:eastAsia="zh-CN"/>
              </w:rPr>
            </w:pPr>
            <w:r>
              <w:rPr>
                <w:rFonts w:hint="eastAsia"/>
                <w:color w:val="auto"/>
                <w:highlight w:val="none"/>
                <w:lang w:val="en-US" w:eastAsia="zh-CN"/>
              </w:rPr>
              <w:t xml:space="preserve">2019年1月1日至今，供应商具有所投设备或类似设备的销售业绩，有一个得1分，总5分。 </w:t>
            </w:r>
          </w:p>
        </w:tc>
        <w:tc>
          <w:tcPr>
            <w:tcW w:w="1080" w:type="dxa"/>
            <w:vAlign w:val="center"/>
          </w:tcPr>
          <w:p>
            <w:pPr>
              <w:adjustRightInd w:val="0"/>
              <w:snapToGrid w:val="0"/>
              <w:spacing w:line="360" w:lineRule="auto"/>
              <w:rPr>
                <w:rFonts w:hint="eastAsia"/>
                <w:color w:val="auto"/>
                <w:highlight w:val="none"/>
                <w:lang w:val="en-US" w:eastAsia="zh-CN"/>
              </w:rPr>
            </w:pPr>
            <w:r>
              <w:rPr>
                <w:rFonts w:hint="eastAsia"/>
                <w:color w:val="auto"/>
                <w:highlight w:val="none"/>
                <w:lang w:val="en-US" w:eastAsia="zh-CN"/>
              </w:rPr>
              <w:t>提供合同复印件并加盖供应商公章。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642" w:type="dxa"/>
            <w:gridSpan w:val="4"/>
            <w:vAlign w:val="center"/>
          </w:tcPr>
          <w:p>
            <w:pPr>
              <w:pStyle w:val="264"/>
              <w:spacing w:line="276" w:lineRule="auto"/>
              <w:jc w:val="center"/>
              <w:rPr>
                <w:rFonts w:ascii="Times New Roman" w:hAnsi="Times New Roman" w:cs="Times New Roman"/>
                <w:color w:val="auto"/>
                <w:highlight w:val="none"/>
              </w:rPr>
            </w:pPr>
            <w:r>
              <w:rPr>
                <w:rFonts w:ascii="Times New Roman" w:hAnsi="Times New Roman" w:cs="Times New Roman"/>
                <w:color w:val="auto"/>
                <w:highlight w:val="none"/>
              </w:rPr>
              <w:t>合计</w:t>
            </w:r>
          </w:p>
        </w:tc>
        <w:tc>
          <w:tcPr>
            <w:tcW w:w="1080" w:type="dxa"/>
            <w:vAlign w:val="center"/>
          </w:tcPr>
          <w:p>
            <w:pPr>
              <w:pStyle w:val="264"/>
              <w:spacing w:line="276" w:lineRule="auto"/>
              <w:jc w:val="center"/>
              <w:rPr>
                <w:rFonts w:hint="eastAsia" w:ascii="Times New Roman" w:hAnsi="Times New Roman" w:eastAsia="宋体" w:cs="Times New Roman"/>
                <w:color w:val="auto"/>
                <w:highlight w:val="none"/>
                <w:lang w:val="en-US" w:eastAsia="zh-CN"/>
              </w:rPr>
            </w:pPr>
            <w:r>
              <w:rPr>
                <w:rFonts w:ascii="Times New Roman" w:hAnsi="Times New Roman" w:cs="Times New Roman"/>
                <w:color w:val="auto"/>
                <w:highlight w:val="none"/>
              </w:rPr>
              <w:t>100</w:t>
            </w:r>
            <w:r>
              <w:rPr>
                <w:rFonts w:hint="eastAsia" w:ascii="Times New Roman" w:hAnsi="Times New Roman" w:cs="Times New Roman"/>
                <w:color w:val="auto"/>
                <w:highlight w:val="none"/>
                <w:lang w:val="en-US" w:eastAsia="zh-CN"/>
              </w:rPr>
              <w:t>分</w:t>
            </w:r>
          </w:p>
        </w:tc>
      </w:tr>
    </w:tbl>
    <w:p>
      <w:pPr>
        <w:rPr>
          <w:color w:val="auto"/>
          <w:szCs w:val="21"/>
          <w:highlight w:val="none"/>
        </w:rPr>
      </w:pPr>
    </w:p>
    <w:p>
      <w:pPr>
        <w:rPr>
          <w:color w:val="auto"/>
          <w:szCs w:val="21"/>
          <w:highlight w:val="none"/>
        </w:rPr>
      </w:pPr>
    </w:p>
    <w:sectPr>
      <w:headerReference r:id="rId9" w:type="default"/>
      <w:footerReference r:id="rId10" w:type="default"/>
      <w:pgSz w:w="11906" w:h="16838"/>
      <w:pgMar w:top="851" w:right="1134" w:bottom="851"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6FF" w:usb1="420024FF" w:usb2="02000000" w:usb3="00000000" w:csb0="2000019F" w:csb1="00000000"/>
  </w:font>
  <w:font w:name="微软简楷体">
    <w:altName w:val="宋体"/>
    <w:panose1 w:val="00000000000000000000"/>
    <w:charset w:val="86"/>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Century Gothic">
    <w:panose1 w:val="020B0502020202020204"/>
    <w:charset w:val="00"/>
    <w:family w:val="swiss"/>
    <w:pitch w:val="default"/>
    <w:sig w:usb0="00000287" w:usb1="00000000" w:usb2="00000000" w:usb3="00000000" w:csb0="2000009F" w:csb1="DFD70000"/>
  </w:font>
  <w:font w:name="Helvetica-Black">
    <w:altName w:val="Arial"/>
    <w:panose1 w:val="00000000000000000000"/>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Frutiger 55 Roman">
    <w:altName w:val="Courier New"/>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0002A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rPr>
        <w:rFonts w:ascii="仿宋_GB2312" w:hAnsi="宋体" w:eastAsia="仿宋_GB2312"/>
      </w:rPr>
    </w:pPr>
    <w:r>
      <w:rPr>
        <w:rFonts w:hint="eastAsia" w:ascii="仿宋_GB2312" w:hAnsi="宋体" w:eastAsia="仿宋_GB2312"/>
      </w:rPr>
      <w:t xml:space="preserve">中招国际招标有限公司重庆分公司 </w:t>
    </w:r>
    <w:r>
      <w:rPr>
        <w:rFonts w:ascii="仿宋_GB2312" w:hAnsi="宋体" w:eastAsia="仿宋_GB2312"/>
      </w:rPr>
      <w:t xml:space="preserve">        </w:t>
    </w:r>
    <w:r>
      <w:rPr>
        <w:rFonts w:hint="eastAsia" w:ascii="仿宋_GB2312" w:hAnsi="宋体" w:eastAsia="仿宋_GB2312"/>
        <w:bCs/>
      </w:rPr>
      <w:t>地址</w:t>
    </w:r>
    <w:r>
      <w:rPr>
        <w:rFonts w:hint="eastAsia" w:ascii="仿宋_GB2312" w:hAnsi="宋体" w:eastAsia="仿宋_GB2312"/>
        <w:bCs/>
        <w:sz w:val="21"/>
      </w:rPr>
      <w:t>：</w:t>
    </w:r>
    <w:r>
      <w:rPr>
        <w:rFonts w:hint="eastAsia" w:ascii="仿宋_GB2312" w:hAnsi="宋体" w:eastAsia="仿宋_GB2312"/>
      </w:rPr>
      <w:t>重庆渝北区黄山大道中段53号5-1（双鱼座A栋5楼）</w:t>
    </w:r>
  </w:p>
  <w:p>
    <w:pPr>
      <w:pStyle w:val="26"/>
      <w:ind w:right="360"/>
      <w:rPr>
        <w:rFonts w:ascii="仿宋_GB2312" w:hAnsi="宋体" w:eastAsia="仿宋_GB2312"/>
      </w:rPr>
    </w:pPr>
    <w:r>
      <w:rPr>
        <w:rFonts w:hint="eastAsia" w:ascii="仿宋_GB2312" w:hAnsi="宋体" w:eastAsia="仿宋_GB2312"/>
      </w:rPr>
      <w:t>电话：023-68881331   传真：023-68696636</w:t>
    </w:r>
  </w:p>
  <w:p>
    <w:pPr>
      <w:pStyle w:val="26"/>
      <w:jc w:val="center"/>
      <w:rPr>
        <w:sz w:val="21"/>
      </w:rPr>
    </w:pPr>
    <w:r>
      <w:rPr>
        <w:sz w:val="21"/>
      </w:rPr>
      <w:fldChar w:fldCharType="begin"/>
    </w:r>
    <w:r>
      <w:rPr>
        <w:rStyle w:val="43"/>
        <w:sz w:val="21"/>
      </w:rPr>
      <w:instrText xml:space="preserve"> PAGE </w:instrText>
    </w:r>
    <w:r>
      <w:rPr>
        <w:sz w:val="21"/>
      </w:rPr>
      <w:fldChar w:fldCharType="separate"/>
    </w:r>
    <w:r>
      <w:rPr>
        <w:rStyle w:val="43"/>
        <w:sz w:val="21"/>
      </w:rPr>
      <w:t>2</w:t>
    </w:r>
    <w:r>
      <w:rPr>
        <w:sz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3"/>
      </w:rPr>
    </w:pPr>
    <w:r>
      <w:fldChar w:fldCharType="begin"/>
    </w:r>
    <w:r>
      <w:rPr>
        <w:rStyle w:val="43"/>
      </w:rPr>
      <w:instrText xml:space="preserve">PAGE  </w:instrTex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rPr>
        <w:rStyle w:val="43"/>
      </w:rPr>
      <w:instrText xml:space="preserve"> PAGE </w:instrText>
    </w:r>
    <w:r>
      <w:fldChar w:fldCharType="separate"/>
    </w:r>
    <w:r>
      <w:rPr>
        <w:rStyle w:val="43"/>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center"/>
      <w:rPr>
        <w:rFonts w:ascii="仿宋" w:hAnsi="仿宋" w:eastAsia="仿宋"/>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ge">
                <wp:posOffset>9912350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ind w:right="360"/>
                            <w:jc w:val="center"/>
                          </w:pPr>
                          <w:r>
                            <w:rPr>
                              <w:rFonts w:ascii="仿宋" w:hAnsi="仿宋" w:eastAsia="仿宋"/>
                              <w:sz w:val="21"/>
                              <w:szCs w:val="21"/>
                            </w:rPr>
                            <w:fldChar w:fldCharType="begin"/>
                          </w:r>
                          <w:r>
                            <w:rPr>
                              <w:rStyle w:val="43"/>
                              <w:rFonts w:ascii="仿宋" w:hAnsi="仿宋" w:eastAsia="仿宋"/>
                              <w:sz w:val="21"/>
                              <w:szCs w:val="21"/>
                            </w:rPr>
                            <w:instrText xml:space="preserve"> PAGE </w:instrText>
                          </w:r>
                          <w:r>
                            <w:rPr>
                              <w:rFonts w:ascii="仿宋" w:hAnsi="仿宋" w:eastAsia="仿宋"/>
                              <w:sz w:val="21"/>
                              <w:szCs w:val="21"/>
                            </w:rPr>
                            <w:fldChar w:fldCharType="separate"/>
                          </w:r>
                          <w:r>
                            <w:rPr>
                              <w:rStyle w:val="43"/>
                              <w:rFonts w:ascii="仿宋" w:hAnsi="仿宋" w:eastAsia="仿宋"/>
                              <w:sz w:val="21"/>
                              <w:szCs w:val="21"/>
                            </w:rPr>
                            <w:t>10</w:t>
                          </w:r>
                          <w:r>
                            <w:rPr>
                              <w:rFonts w:ascii="仿宋" w:hAnsi="仿宋" w:eastAsia="仿宋"/>
                              <w:sz w:val="21"/>
                              <w:szCs w:val="21"/>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780.5pt;height:144pt;width:144pt;mso-position-horizontal:center;mso-position-horizontal-relative:margin;mso-position-vertical-relative:page;mso-wrap-style:none;z-index:251659264;mso-width-relative:page;mso-height-relative:page;" filled="f" stroked="f" coordsize="21600,21600" o:gfxdata="UEsDBAoAAAAAAIdO4kAAAAAAAAAAAAAAAAAEAAAAZHJzL1BLAwQUAAAACACHTuJAxSLaqdQAAAAK&#10;AQAADwAAAGRycy9kb3ducmV2LnhtbE1Py07DMBC8I/EP1iJxo3YqKCaN00MlLtwoCImbG2/jqH5E&#10;tpsmf89ygtvszGh2ptnN3rEJUx5iUFCtBDAMXTRD6BV8frw+SGC56GC0iwEVLJhh197eNLo28Rre&#10;cTqUnlFIyLVWYEsZa85zZ9HrvIojBtJOMXld6Ew9N0lfKdw7vhZiw70eAn2wesS9xe58uHgFz/NX&#10;xDHjHr9PU5fssEj3tih1f1eJLbCCc/kzw299qg4tdTrGSzCZOQU0pBD7tKkIkb6WksCRKPn4IoC3&#10;Df8/of0BUEsDBBQAAAAIAIdO4kBaXEZZwAEAAI0DAAAOAAAAZHJzL2Uyb0RvYy54bWytU82O0zAQ&#10;viPxDpbv1NkcUBU1XYGqRUgIkBYewHXsxpL/5HGb9AXgDThx4c5z9TkYO0l3WS574OKMZ8bfzPfN&#10;ZHM7WkNOMoL2rqU3q4oS6YTvtDu09OuXu1drSiBx13HjnWzpWQK93b58sRlCI2vfe9PJSBDEQTOE&#10;lvYphYYxEL20HFY+SIdB5aPlCa/xwLrIB0S3htVV9ZoNPnYheiEB0LubgnRGjM8B9EppIXdeHK10&#10;aUKN0vCElKDXAei2dKuUFOmTUiATMS1FpqmcWATtfT7ZdsObQ+Sh12JugT+nhSecLNcOi16hdjxx&#10;coz6HyirRfTgVVoJb9lEpCiCLG6qJ9rc9zzIwgWlhnAVHf4frPh4+hyJ7lpaU+K4xYFffny//Px9&#10;+fWN1FmeIUCDWfcB89L41o+4NIsf0JlZjyra/EU+BOMo7vkqrhwTEfnRul6vKwwJjC0XxGcPz0OE&#10;9E56S7LR0ojTK6Ly0wdIU+qSkqs5f6eNKRM07i8HYmYPy71PPWYrjftxJrT33Rn5DDj4ljrcc0rM&#10;e4e65h1ZjLgY+9nINSC8OSYsXPrJqBPUXAynVBjNG5XX4PG9ZD38Rd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xSLaqdQAAAAKAQAADwAAAAAAAAABACAAAAAiAAAAZHJzL2Rvd25yZXYueG1sUEsB&#10;AhQAFAAAAAgAh07iQFpcRlnAAQAAjQMAAA4AAAAAAAAAAQAgAAAAIwEAAGRycy9lMm9Eb2MueG1s&#10;UEsFBgAAAAAGAAYAWQEAAFUFAAAAAA==&#10;">
              <v:fill on="f" focussize="0,0"/>
              <v:stroke on="f"/>
              <v:imagedata o:title=""/>
              <o:lock v:ext="edit" aspectratio="f"/>
              <v:textbox inset="0mm,0mm,0mm,0mm" style="mso-fit-shape-to-text:t;">
                <w:txbxContent>
                  <w:p>
                    <w:pPr>
                      <w:pStyle w:val="26"/>
                      <w:ind w:right="360"/>
                      <w:jc w:val="center"/>
                    </w:pPr>
                    <w:r>
                      <w:rPr>
                        <w:rFonts w:ascii="仿宋" w:hAnsi="仿宋" w:eastAsia="仿宋"/>
                        <w:sz w:val="21"/>
                        <w:szCs w:val="21"/>
                      </w:rPr>
                      <w:fldChar w:fldCharType="begin"/>
                    </w:r>
                    <w:r>
                      <w:rPr>
                        <w:rStyle w:val="43"/>
                        <w:rFonts w:ascii="仿宋" w:hAnsi="仿宋" w:eastAsia="仿宋"/>
                        <w:sz w:val="21"/>
                        <w:szCs w:val="21"/>
                      </w:rPr>
                      <w:instrText xml:space="preserve"> PAGE </w:instrText>
                    </w:r>
                    <w:r>
                      <w:rPr>
                        <w:rFonts w:ascii="仿宋" w:hAnsi="仿宋" w:eastAsia="仿宋"/>
                        <w:sz w:val="21"/>
                        <w:szCs w:val="21"/>
                      </w:rPr>
                      <w:fldChar w:fldCharType="separate"/>
                    </w:r>
                    <w:r>
                      <w:rPr>
                        <w:rStyle w:val="43"/>
                        <w:rFonts w:ascii="仿宋" w:hAnsi="仿宋" w:eastAsia="仿宋"/>
                        <w:sz w:val="21"/>
                        <w:szCs w:val="21"/>
                      </w:rPr>
                      <w:t>10</w:t>
                    </w:r>
                    <w:r>
                      <w:rPr>
                        <w:rFonts w:ascii="仿宋" w:hAnsi="仿宋" w:eastAsia="仿宋"/>
                        <w:sz w:val="21"/>
                        <w:szCs w:val="21"/>
                      </w:rPr>
                      <w:fldChar w:fldCharType="end"/>
                    </w:r>
                  </w:p>
                </w:txbxContent>
              </v:textbox>
            </v:shape>
          </w:pict>
        </mc:Fallback>
      </mc:AlternateContent>
    </w:r>
  </w:p>
  <w:p>
    <w:pPr>
      <w:rPr>
        <w:rFonts w:ascii="仿宋" w:hAnsi="仿宋" w:eastAsia="仿宋"/>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single" w:color="auto" w:sz="4" w:space="1"/>
      </w:pBdr>
      <w:ind w:left="5220" w:hanging="5220" w:hangingChars="2900"/>
      <w:jc w:val="left"/>
      <w:rPr>
        <w:rFonts w:ascii="黑体" w:eastAsia="黑体"/>
      </w:rPr>
    </w:pPr>
    <w:r>
      <w:rPr>
        <w:rFonts w:hint="eastAsia" w:ascii="黑体" w:eastAsia="黑体"/>
      </w:rPr>
      <w:t xml:space="preserve">北京理工大学重庆创新中心空间文化提升项目    </w:t>
    </w:r>
    <w:r>
      <w:rPr>
        <w:rFonts w:hint="eastAsia" w:ascii="方正仿宋_GBK" w:eastAsia="方正仿宋_GBK"/>
        <w:sz w:val="21"/>
        <w:szCs w:val="24"/>
      </w:rPr>
      <w:t xml:space="preserve"> </w:t>
    </w:r>
    <w:r>
      <w:rPr>
        <w:rFonts w:ascii="方正仿宋_GBK" w:eastAsia="方正仿宋_GBK"/>
        <w:sz w:val="21"/>
        <w:szCs w:val="24"/>
      </w:rPr>
      <w:t xml:space="preserve">      </w:t>
    </w:r>
    <w:r>
      <w:rPr>
        <w:rFonts w:hint="eastAsia" w:ascii="方正仿宋_GBK" w:eastAsia="方正仿宋_GBK"/>
        <w:sz w:val="21"/>
        <w:szCs w:val="24"/>
      </w:rPr>
      <w:t xml:space="preserve"> </w:t>
    </w:r>
    <w:r>
      <w:rPr>
        <w:rFonts w:ascii="方正仿宋_GBK" w:eastAsia="方正仿宋_GBK"/>
        <w:sz w:val="21"/>
        <w:szCs w:val="24"/>
      </w:rPr>
      <w:t xml:space="preserve">  </w:t>
    </w:r>
    <w:r>
      <w:rPr>
        <w:rFonts w:ascii="方正仿宋_GBK" w:eastAsia="方正仿宋_GBK"/>
        <w:sz w:val="21"/>
        <w:szCs w:val="24"/>
      </w:rPr>
      <w:object>
        <v:shape id="_x0000_i1025" o:spt="75" type="#_x0000_t75" style="height:21pt;width:21.75pt;" o:ole="t" filled="f" o:preferrelative="t" stroked="f" coordsize="21600,21600">
          <v:path/>
          <v:fill on="f" focussize="0,0"/>
          <v:stroke on="f" joinstyle="miter"/>
          <v:imagedata r:id="rId2" embosscolor="#FFFFFF" o:title=""/>
          <o:lock v:ext="edit" aspectratio="t"/>
          <w10:wrap type="none"/>
          <w10:anchorlock/>
        </v:shape>
        <o:OLEObject Type="Embed" ProgID="PBrush" ShapeID="_x0000_i1025" DrawAspect="Content" ObjectID="_1468075725" r:id="rId1">
          <o:LockedField>false</o:LockedField>
        </o:OLEObject>
      </w:object>
    </w:r>
    <w:r>
      <w:rPr>
        <w:rFonts w:hint="eastAsia" w:ascii="方正仿宋_GBK" w:eastAsia="方正仿宋_GBK"/>
        <w:sz w:val="21"/>
        <w:szCs w:val="24"/>
      </w:rPr>
      <w:t xml:space="preserve">      </w:t>
    </w:r>
    <w:r>
      <w:rPr>
        <w:rFonts w:ascii="方正仿宋_GBK" w:eastAsia="方正仿宋_GBK"/>
        <w:sz w:val="21"/>
        <w:szCs w:val="24"/>
      </w:rPr>
      <w:t xml:space="preserve">           </w:t>
    </w:r>
    <w:r>
      <w:rPr>
        <w:rFonts w:hint="eastAsia" w:ascii="方正仿宋_GBK" w:eastAsia="方正仿宋_GBK"/>
        <w:sz w:val="21"/>
        <w:szCs w:val="24"/>
      </w:rPr>
      <w:t xml:space="preserve">    </w:t>
    </w:r>
    <w:r>
      <w:rPr>
        <w:rFonts w:ascii="方正仿宋_GBK" w:eastAsia="方正仿宋_GBK"/>
        <w:sz w:val="21"/>
        <w:szCs w:val="24"/>
      </w:rPr>
      <w:t xml:space="preserve">      </w:t>
    </w:r>
    <w:r>
      <w:rPr>
        <w:rFonts w:hint="eastAsia" w:ascii="黑体" w:eastAsia="黑体"/>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33B837"/>
    <w:multiLevelType w:val="singleLevel"/>
    <w:tmpl w:val="8433B837"/>
    <w:lvl w:ilvl="0" w:tentative="0">
      <w:start w:val="26"/>
      <w:numFmt w:val="decimal"/>
      <w:suff w:val="space"/>
      <w:lvlText w:val="%1."/>
      <w:lvlJc w:val="left"/>
    </w:lvl>
  </w:abstractNum>
  <w:abstractNum w:abstractNumId="1">
    <w:nsid w:val="ABAAB479"/>
    <w:multiLevelType w:val="singleLevel"/>
    <w:tmpl w:val="ABAAB479"/>
    <w:lvl w:ilvl="0" w:tentative="0">
      <w:start w:val="3"/>
      <w:numFmt w:val="decimal"/>
      <w:suff w:val="nothing"/>
      <w:lvlText w:val="%1、"/>
      <w:lvlJc w:val="left"/>
    </w:lvl>
  </w:abstractNum>
  <w:abstractNum w:abstractNumId="2">
    <w:nsid w:val="B6C8D71A"/>
    <w:multiLevelType w:val="singleLevel"/>
    <w:tmpl w:val="B6C8D71A"/>
    <w:lvl w:ilvl="0" w:tentative="0">
      <w:start w:val="1"/>
      <w:numFmt w:val="decimal"/>
      <w:lvlText w:val="%1)"/>
      <w:lvlJc w:val="left"/>
      <w:pPr>
        <w:ind w:left="425" w:hanging="425"/>
      </w:pPr>
      <w:rPr>
        <w:rFonts w:hint="default"/>
      </w:rPr>
    </w:lvl>
  </w:abstractNum>
  <w:abstractNum w:abstractNumId="3">
    <w:nsid w:val="D098AA1A"/>
    <w:multiLevelType w:val="singleLevel"/>
    <w:tmpl w:val="D098AA1A"/>
    <w:lvl w:ilvl="0" w:tentative="0">
      <w:start w:val="1"/>
      <w:numFmt w:val="decimal"/>
      <w:lvlText w:val="%1)"/>
      <w:lvlJc w:val="left"/>
      <w:pPr>
        <w:ind w:left="425" w:hanging="425"/>
      </w:pPr>
      <w:rPr>
        <w:rFonts w:hint="default"/>
      </w:rPr>
    </w:lvl>
  </w:abstractNum>
  <w:abstractNum w:abstractNumId="4">
    <w:nsid w:val="E540E79D"/>
    <w:multiLevelType w:val="singleLevel"/>
    <w:tmpl w:val="E540E79D"/>
    <w:lvl w:ilvl="0" w:tentative="0">
      <w:start w:val="1"/>
      <w:numFmt w:val="decimal"/>
      <w:suff w:val="nothing"/>
      <w:lvlText w:val="%1）"/>
      <w:lvlJc w:val="left"/>
    </w:lvl>
  </w:abstractNum>
  <w:abstractNum w:abstractNumId="5">
    <w:nsid w:val="EA695811"/>
    <w:multiLevelType w:val="singleLevel"/>
    <w:tmpl w:val="EA695811"/>
    <w:lvl w:ilvl="0" w:tentative="0">
      <w:start w:val="1"/>
      <w:numFmt w:val="decimal"/>
      <w:suff w:val="space"/>
      <w:lvlText w:val="(%1)"/>
      <w:lvlJc w:val="left"/>
    </w:lvl>
  </w:abstractNum>
  <w:abstractNum w:abstractNumId="6">
    <w:nsid w:val="FE8D934A"/>
    <w:multiLevelType w:val="singleLevel"/>
    <w:tmpl w:val="FE8D934A"/>
    <w:lvl w:ilvl="0" w:tentative="0">
      <w:start w:val="1"/>
      <w:numFmt w:val="decimal"/>
      <w:lvlText w:val="%1)"/>
      <w:lvlJc w:val="left"/>
      <w:pPr>
        <w:ind w:left="425" w:hanging="425"/>
      </w:pPr>
      <w:rPr>
        <w:rFonts w:hint="default"/>
      </w:rPr>
    </w:lvl>
  </w:abstractNum>
  <w:abstractNum w:abstractNumId="7">
    <w:nsid w:val="00000002"/>
    <w:multiLevelType w:val="multilevel"/>
    <w:tmpl w:val="00000002"/>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8">
    <w:nsid w:val="00000004"/>
    <w:multiLevelType w:val="multilevel"/>
    <w:tmpl w:val="00000004"/>
    <w:lvl w:ilvl="0" w:tentative="0">
      <w:start w:val="1"/>
      <w:numFmt w:val="decimal"/>
      <w:isLgl/>
      <w:lvlText w:val="%1."/>
      <w:lvlJc w:val="left"/>
      <w:pPr>
        <w:tabs>
          <w:tab w:val="left" w:pos="624"/>
        </w:tabs>
        <w:ind w:left="624" w:hanging="624"/>
      </w:pPr>
      <w:rPr>
        <w:rFonts w:hint="eastAsia"/>
      </w:rPr>
    </w:lvl>
    <w:lvl w:ilvl="1" w:tentative="0">
      <w:start w:val="1"/>
      <w:numFmt w:val="decimal"/>
      <w:isLgl/>
      <w:lvlText w:val="%1.%2"/>
      <w:lvlJc w:val="left"/>
      <w:pPr>
        <w:tabs>
          <w:tab w:val="left" w:pos="624"/>
        </w:tabs>
        <w:ind w:left="624" w:hanging="624"/>
      </w:pPr>
      <w:rPr>
        <w:rFonts w:hint="eastAsia" w:ascii="宋体" w:hAnsi="宋体" w:eastAsia="宋体"/>
        <w:b w:val="0"/>
      </w:rPr>
    </w:lvl>
    <w:lvl w:ilvl="2" w:tentative="0">
      <w:start w:val="1"/>
      <w:numFmt w:val="lowerLetter"/>
      <w:lvlText w:val="%3)"/>
      <w:lvlJc w:val="left"/>
      <w:pPr>
        <w:tabs>
          <w:tab w:val="left" w:pos="420"/>
        </w:tabs>
        <w:ind w:left="420" w:hanging="420"/>
      </w:pPr>
      <w:rPr>
        <w:rFonts w:hint="eastAsia"/>
      </w:rPr>
    </w:lvl>
    <w:lvl w:ilvl="3" w:tentative="0">
      <w:start w:val="1"/>
      <w:numFmt w:val="decimalEnclosedCircle"/>
      <w:lvlText w:val="%4"/>
      <w:lvlJc w:val="left"/>
      <w:pPr>
        <w:tabs>
          <w:tab w:val="left" w:pos="624"/>
        </w:tabs>
        <w:ind w:left="624" w:hanging="39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
    <w:nsid w:val="00000005"/>
    <w:multiLevelType w:val="multilevel"/>
    <w:tmpl w:val="00000005"/>
    <w:lvl w:ilvl="0" w:tentative="0">
      <w:start w:val="1"/>
      <w:numFmt w:val="decimal"/>
      <w:lvlText w:val="%1)"/>
      <w:lvlJc w:val="left"/>
      <w:pPr>
        <w:tabs>
          <w:tab w:val="left" w:pos="900"/>
        </w:tabs>
        <w:ind w:left="900" w:hanging="420"/>
      </w:pPr>
    </w:lvl>
    <w:lvl w:ilvl="1" w:tentative="0">
      <w:start w:val="4"/>
      <w:numFmt w:val="japaneseCounting"/>
      <w:lvlText w:val="第%2章"/>
      <w:lvlJc w:val="left"/>
      <w:pPr>
        <w:tabs>
          <w:tab w:val="left" w:pos="2340"/>
        </w:tabs>
        <w:ind w:left="2340" w:hanging="1440"/>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0">
    <w:nsid w:val="00000006"/>
    <w:multiLevelType w:val="singleLevel"/>
    <w:tmpl w:val="00000006"/>
    <w:lvl w:ilvl="0" w:tentative="0">
      <w:start w:val="1"/>
      <w:numFmt w:val="japaneseCounting"/>
      <w:lvlText w:val="第%1章"/>
      <w:lvlJc w:val="left"/>
      <w:pPr>
        <w:tabs>
          <w:tab w:val="left" w:pos="1065"/>
        </w:tabs>
        <w:ind w:left="1065" w:hanging="165"/>
      </w:pPr>
      <w:rPr>
        <w:rFonts w:ascii="微软雅黑" w:hAnsi="微软雅黑" w:eastAsia="微软雅黑" w:cs="Times New Roman"/>
      </w:rPr>
    </w:lvl>
  </w:abstractNum>
  <w:abstractNum w:abstractNumId="11">
    <w:nsid w:val="00000009"/>
    <w:multiLevelType w:val="multilevel"/>
    <w:tmpl w:val="00000009"/>
    <w:lvl w:ilvl="0" w:tentative="0">
      <w:start w:val="13"/>
      <w:numFmt w:val="decimal"/>
      <w:lvlText w:val="%1"/>
      <w:lvlJc w:val="left"/>
      <w:pPr>
        <w:tabs>
          <w:tab w:val="left" w:pos="420"/>
        </w:tabs>
        <w:ind w:left="420" w:hanging="420"/>
      </w:pPr>
      <w:rPr>
        <w:rFonts w:hint="default"/>
      </w:rPr>
    </w:lvl>
    <w:lvl w:ilvl="1" w:tentative="0">
      <w:start w:val="1"/>
      <w:numFmt w:val="decimal"/>
      <w:lvlText w:val="%1.%2"/>
      <w:lvlJc w:val="left"/>
      <w:pPr>
        <w:tabs>
          <w:tab w:val="left" w:pos="420"/>
        </w:tabs>
        <w:ind w:left="420" w:hanging="42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2">
    <w:nsid w:val="0000000C"/>
    <w:multiLevelType w:val="multilevel"/>
    <w:tmpl w:val="0000000C"/>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3">
    <w:nsid w:val="00000014"/>
    <w:multiLevelType w:val="multilevel"/>
    <w:tmpl w:val="00000014"/>
    <w:lvl w:ilvl="0" w:tentative="0">
      <w:start w:val="1"/>
      <w:numFmt w:val="bullet"/>
      <w:lvlText w:val=""/>
      <w:lvlJc w:val="left"/>
      <w:pPr>
        <w:tabs>
          <w:tab w:val="left" w:pos="1044"/>
        </w:tabs>
        <w:ind w:left="1044" w:hanging="420"/>
      </w:pPr>
      <w:rPr>
        <w:rFonts w:hint="default" w:ascii="Wingdings" w:hAnsi="Wingdings"/>
      </w:rPr>
    </w:lvl>
    <w:lvl w:ilvl="1" w:tentative="0">
      <w:start w:val="1"/>
      <w:numFmt w:val="bullet"/>
      <w:lvlText w:val=""/>
      <w:lvlJc w:val="left"/>
      <w:pPr>
        <w:tabs>
          <w:tab w:val="left" w:pos="1464"/>
        </w:tabs>
        <w:ind w:left="1464" w:hanging="420"/>
      </w:pPr>
      <w:rPr>
        <w:rFonts w:hint="default" w:ascii="Wingdings" w:hAnsi="Wingdings"/>
      </w:rPr>
    </w:lvl>
    <w:lvl w:ilvl="2" w:tentative="0">
      <w:start w:val="1"/>
      <w:numFmt w:val="bullet"/>
      <w:lvlText w:val=""/>
      <w:lvlJc w:val="left"/>
      <w:pPr>
        <w:tabs>
          <w:tab w:val="left" w:pos="1884"/>
        </w:tabs>
        <w:ind w:left="1884" w:hanging="420"/>
      </w:pPr>
      <w:rPr>
        <w:rFonts w:hint="default" w:ascii="Wingdings" w:hAnsi="Wingdings"/>
      </w:rPr>
    </w:lvl>
    <w:lvl w:ilvl="3" w:tentative="0">
      <w:start w:val="1"/>
      <w:numFmt w:val="bullet"/>
      <w:lvlText w:val=""/>
      <w:lvlJc w:val="left"/>
      <w:pPr>
        <w:tabs>
          <w:tab w:val="left" w:pos="2304"/>
        </w:tabs>
        <w:ind w:left="2304" w:hanging="420"/>
      </w:pPr>
      <w:rPr>
        <w:rFonts w:hint="default" w:ascii="Wingdings" w:hAnsi="Wingdings"/>
      </w:rPr>
    </w:lvl>
    <w:lvl w:ilvl="4" w:tentative="0">
      <w:start w:val="1"/>
      <w:numFmt w:val="bullet"/>
      <w:lvlText w:val=""/>
      <w:lvlJc w:val="left"/>
      <w:pPr>
        <w:tabs>
          <w:tab w:val="left" w:pos="2724"/>
        </w:tabs>
        <w:ind w:left="2724" w:hanging="420"/>
      </w:pPr>
      <w:rPr>
        <w:rFonts w:hint="default" w:ascii="Wingdings" w:hAnsi="Wingdings"/>
      </w:rPr>
    </w:lvl>
    <w:lvl w:ilvl="5" w:tentative="0">
      <w:start w:val="1"/>
      <w:numFmt w:val="bullet"/>
      <w:lvlText w:val=""/>
      <w:lvlJc w:val="left"/>
      <w:pPr>
        <w:tabs>
          <w:tab w:val="left" w:pos="3144"/>
        </w:tabs>
        <w:ind w:left="3144" w:hanging="420"/>
      </w:pPr>
      <w:rPr>
        <w:rFonts w:hint="default" w:ascii="Wingdings" w:hAnsi="Wingdings"/>
      </w:rPr>
    </w:lvl>
    <w:lvl w:ilvl="6" w:tentative="0">
      <w:start w:val="1"/>
      <w:numFmt w:val="bullet"/>
      <w:lvlText w:val=""/>
      <w:lvlJc w:val="left"/>
      <w:pPr>
        <w:tabs>
          <w:tab w:val="left" w:pos="3564"/>
        </w:tabs>
        <w:ind w:left="3564" w:hanging="420"/>
      </w:pPr>
      <w:rPr>
        <w:rFonts w:hint="default" w:ascii="Wingdings" w:hAnsi="Wingdings"/>
      </w:rPr>
    </w:lvl>
    <w:lvl w:ilvl="7" w:tentative="0">
      <w:start w:val="1"/>
      <w:numFmt w:val="bullet"/>
      <w:lvlText w:val=""/>
      <w:lvlJc w:val="left"/>
      <w:pPr>
        <w:tabs>
          <w:tab w:val="left" w:pos="3984"/>
        </w:tabs>
        <w:ind w:left="3984" w:hanging="420"/>
      </w:pPr>
      <w:rPr>
        <w:rFonts w:hint="default" w:ascii="Wingdings" w:hAnsi="Wingdings"/>
      </w:rPr>
    </w:lvl>
    <w:lvl w:ilvl="8" w:tentative="0">
      <w:start w:val="1"/>
      <w:numFmt w:val="bullet"/>
      <w:lvlText w:val=""/>
      <w:lvlJc w:val="left"/>
      <w:pPr>
        <w:tabs>
          <w:tab w:val="left" w:pos="4404"/>
        </w:tabs>
        <w:ind w:left="4404" w:hanging="420"/>
      </w:pPr>
      <w:rPr>
        <w:rFonts w:hint="default" w:ascii="Wingdings" w:hAnsi="Wingdings"/>
      </w:rPr>
    </w:lvl>
  </w:abstractNum>
  <w:abstractNum w:abstractNumId="14">
    <w:nsid w:val="12FA3089"/>
    <w:multiLevelType w:val="multilevel"/>
    <w:tmpl w:val="12FA3089"/>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1B0E2045"/>
    <w:multiLevelType w:val="multilevel"/>
    <w:tmpl w:val="1B0E2045"/>
    <w:lvl w:ilvl="0" w:tentative="0">
      <w:start w:val="10"/>
      <w:numFmt w:val="decimal"/>
      <w:lvlText w:val="%1．"/>
      <w:lvlJc w:val="left"/>
      <w:pPr>
        <w:ind w:left="495" w:hanging="49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CF8608E"/>
    <w:multiLevelType w:val="multilevel"/>
    <w:tmpl w:val="2CF8608E"/>
    <w:lvl w:ilvl="0" w:tentative="0">
      <w:start w:val="22"/>
      <w:numFmt w:val="decimal"/>
      <w:lvlText w:val="%1．"/>
      <w:lvlJc w:val="left"/>
      <w:pPr>
        <w:ind w:left="495" w:hanging="49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3AD6CAC4"/>
    <w:multiLevelType w:val="singleLevel"/>
    <w:tmpl w:val="3AD6CAC4"/>
    <w:lvl w:ilvl="0" w:tentative="0">
      <w:start w:val="4"/>
      <w:numFmt w:val="chineseCounting"/>
      <w:suff w:val="nothing"/>
      <w:lvlText w:val="%1、"/>
      <w:lvlJc w:val="left"/>
      <w:rPr>
        <w:rFonts w:hint="eastAsia"/>
      </w:rPr>
    </w:lvl>
  </w:abstractNum>
  <w:abstractNum w:abstractNumId="18">
    <w:nsid w:val="4014FF6A"/>
    <w:multiLevelType w:val="singleLevel"/>
    <w:tmpl w:val="4014FF6A"/>
    <w:lvl w:ilvl="0" w:tentative="0">
      <w:start w:val="1"/>
      <w:numFmt w:val="decimal"/>
      <w:lvlText w:val="%1)"/>
      <w:lvlJc w:val="left"/>
      <w:pPr>
        <w:ind w:left="425" w:hanging="425"/>
      </w:pPr>
      <w:rPr>
        <w:rFonts w:hint="default"/>
      </w:rPr>
    </w:lvl>
  </w:abstractNum>
  <w:abstractNum w:abstractNumId="19">
    <w:nsid w:val="5987C441"/>
    <w:multiLevelType w:val="singleLevel"/>
    <w:tmpl w:val="5987C441"/>
    <w:lvl w:ilvl="0" w:tentative="0">
      <w:start w:val="3"/>
      <w:numFmt w:val="chineseCounting"/>
      <w:suff w:val="nothing"/>
      <w:lvlText w:val="%1、"/>
      <w:lvlJc w:val="left"/>
    </w:lvl>
  </w:abstractNum>
  <w:abstractNum w:abstractNumId="20">
    <w:nsid w:val="7818131A"/>
    <w:multiLevelType w:val="singleLevel"/>
    <w:tmpl w:val="7818131A"/>
    <w:lvl w:ilvl="0" w:tentative="0">
      <w:start w:val="1"/>
      <w:numFmt w:val="decimal"/>
      <w:lvlText w:val="(%1)"/>
      <w:lvlJc w:val="left"/>
      <w:pPr>
        <w:tabs>
          <w:tab w:val="left" w:pos="312"/>
        </w:tabs>
      </w:pPr>
    </w:lvl>
  </w:abstractNum>
  <w:abstractNum w:abstractNumId="21">
    <w:nsid w:val="7A0AFD27"/>
    <w:multiLevelType w:val="singleLevel"/>
    <w:tmpl w:val="7A0AFD27"/>
    <w:lvl w:ilvl="0" w:tentative="0">
      <w:start w:val="1"/>
      <w:numFmt w:val="bullet"/>
      <w:lvlText w:val=""/>
      <w:lvlJc w:val="left"/>
      <w:pPr>
        <w:tabs>
          <w:tab w:val="left" w:pos="420"/>
        </w:tabs>
        <w:ind w:left="840" w:hanging="420"/>
      </w:pPr>
      <w:rPr>
        <w:rFonts w:hint="default" w:ascii="Wingdings" w:hAnsi="Wingdings"/>
      </w:rPr>
    </w:lvl>
  </w:abstractNum>
  <w:abstractNum w:abstractNumId="22">
    <w:nsid w:val="7D8810DB"/>
    <w:multiLevelType w:val="multilevel"/>
    <w:tmpl w:val="7D8810DB"/>
    <w:lvl w:ilvl="0" w:tentative="0">
      <w:start w:val="26"/>
      <w:numFmt w:val="decimal"/>
      <w:lvlText w:val="%1．"/>
      <w:lvlJc w:val="left"/>
      <w:pPr>
        <w:ind w:left="495" w:hanging="49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0"/>
  </w:num>
  <w:num w:numId="2">
    <w:abstractNumId w:val="7"/>
  </w:num>
  <w:num w:numId="3">
    <w:abstractNumId w:val="12"/>
  </w:num>
  <w:num w:numId="4">
    <w:abstractNumId w:val="10"/>
  </w:num>
  <w:num w:numId="5">
    <w:abstractNumId w:val="15"/>
  </w:num>
  <w:num w:numId="6">
    <w:abstractNumId w:val="11"/>
  </w:num>
  <w:num w:numId="7">
    <w:abstractNumId w:val="17"/>
  </w:num>
  <w:num w:numId="8">
    <w:abstractNumId w:val="13"/>
  </w:num>
  <w:num w:numId="9">
    <w:abstractNumId w:val="9"/>
  </w:num>
  <w:num w:numId="10">
    <w:abstractNumId w:val="14"/>
  </w:num>
  <w:num w:numId="11">
    <w:abstractNumId w:val="3"/>
  </w:num>
  <w:num w:numId="12">
    <w:abstractNumId w:val="8"/>
  </w:num>
  <w:num w:numId="13">
    <w:abstractNumId w:val="16"/>
  </w:num>
  <w:num w:numId="14">
    <w:abstractNumId w:val="0"/>
  </w:num>
  <w:num w:numId="15">
    <w:abstractNumId w:val="22"/>
  </w:num>
  <w:num w:numId="16">
    <w:abstractNumId w:val="1"/>
  </w:num>
  <w:num w:numId="17">
    <w:abstractNumId w:val="2"/>
  </w:num>
  <w:num w:numId="18">
    <w:abstractNumId w:val="21"/>
  </w:num>
  <w:num w:numId="19">
    <w:abstractNumId w:val="6"/>
  </w:num>
  <w:num w:numId="20">
    <w:abstractNumId w:val="18"/>
  </w:num>
  <w:num w:numId="21">
    <w:abstractNumId w:val="4"/>
  </w:num>
  <w:num w:numId="22">
    <w:abstractNumId w:val="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hlMzE1ZGYwNjQ3NjY3MWRhZGY2NjU3MGM5YzNkNTgifQ=="/>
  </w:docVars>
  <w:rsids>
    <w:rsidRoot w:val="00050E81"/>
    <w:rsid w:val="000010BE"/>
    <w:rsid w:val="00004192"/>
    <w:rsid w:val="00005D3B"/>
    <w:rsid w:val="00007EC4"/>
    <w:rsid w:val="00016457"/>
    <w:rsid w:val="00024EE4"/>
    <w:rsid w:val="000309D6"/>
    <w:rsid w:val="00034D38"/>
    <w:rsid w:val="00050E81"/>
    <w:rsid w:val="00057061"/>
    <w:rsid w:val="0007140F"/>
    <w:rsid w:val="00075796"/>
    <w:rsid w:val="00080FA3"/>
    <w:rsid w:val="000939B9"/>
    <w:rsid w:val="00096C3C"/>
    <w:rsid w:val="000A4829"/>
    <w:rsid w:val="000A62FF"/>
    <w:rsid w:val="000B38BD"/>
    <w:rsid w:val="000B4591"/>
    <w:rsid w:val="000B649D"/>
    <w:rsid w:val="000C6AF6"/>
    <w:rsid w:val="000D2FBB"/>
    <w:rsid w:val="000D386C"/>
    <w:rsid w:val="000D65B4"/>
    <w:rsid w:val="000E6FD9"/>
    <w:rsid w:val="000E7285"/>
    <w:rsid w:val="000F40BC"/>
    <w:rsid w:val="001150F7"/>
    <w:rsid w:val="00115E18"/>
    <w:rsid w:val="00142098"/>
    <w:rsid w:val="00145B02"/>
    <w:rsid w:val="00145F9B"/>
    <w:rsid w:val="0016119F"/>
    <w:rsid w:val="00164072"/>
    <w:rsid w:val="001715A3"/>
    <w:rsid w:val="00176499"/>
    <w:rsid w:val="001855BE"/>
    <w:rsid w:val="00191BF0"/>
    <w:rsid w:val="001930F3"/>
    <w:rsid w:val="001B0255"/>
    <w:rsid w:val="001B43C8"/>
    <w:rsid w:val="001C12A3"/>
    <w:rsid w:val="001D3663"/>
    <w:rsid w:val="001D7B0F"/>
    <w:rsid w:val="001E1FB1"/>
    <w:rsid w:val="001E53A2"/>
    <w:rsid w:val="001E6970"/>
    <w:rsid w:val="001F20E6"/>
    <w:rsid w:val="00201EAC"/>
    <w:rsid w:val="0020432E"/>
    <w:rsid w:val="00206860"/>
    <w:rsid w:val="00215773"/>
    <w:rsid w:val="002200BF"/>
    <w:rsid w:val="0022036C"/>
    <w:rsid w:val="0024155E"/>
    <w:rsid w:val="00242277"/>
    <w:rsid w:val="00243BF0"/>
    <w:rsid w:val="00245BB1"/>
    <w:rsid w:val="00255535"/>
    <w:rsid w:val="00255560"/>
    <w:rsid w:val="002808B4"/>
    <w:rsid w:val="0028413B"/>
    <w:rsid w:val="002873B4"/>
    <w:rsid w:val="00292150"/>
    <w:rsid w:val="002A15F7"/>
    <w:rsid w:val="002A2C87"/>
    <w:rsid w:val="002A3FC7"/>
    <w:rsid w:val="002A65C0"/>
    <w:rsid w:val="002B0EB9"/>
    <w:rsid w:val="002B23DF"/>
    <w:rsid w:val="002D2FCE"/>
    <w:rsid w:val="002D3B80"/>
    <w:rsid w:val="002D5FDF"/>
    <w:rsid w:val="002D7A61"/>
    <w:rsid w:val="002E1511"/>
    <w:rsid w:val="002F1218"/>
    <w:rsid w:val="002F25D0"/>
    <w:rsid w:val="002F6E2D"/>
    <w:rsid w:val="003225A7"/>
    <w:rsid w:val="00323F2D"/>
    <w:rsid w:val="00324C29"/>
    <w:rsid w:val="003276BD"/>
    <w:rsid w:val="00340589"/>
    <w:rsid w:val="0034368A"/>
    <w:rsid w:val="00351A34"/>
    <w:rsid w:val="00353CA5"/>
    <w:rsid w:val="00354B05"/>
    <w:rsid w:val="0035616C"/>
    <w:rsid w:val="003574FC"/>
    <w:rsid w:val="0037460C"/>
    <w:rsid w:val="00375A82"/>
    <w:rsid w:val="003815A1"/>
    <w:rsid w:val="00390188"/>
    <w:rsid w:val="00392592"/>
    <w:rsid w:val="00395008"/>
    <w:rsid w:val="003A18BA"/>
    <w:rsid w:val="003B3334"/>
    <w:rsid w:val="003B552A"/>
    <w:rsid w:val="003B55EE"/>
    <w:rsid w:val="003C73E4"/>
    <w:rsid w:val="003D07D1"/>
    <w:rsid w:val="003E15CC"/>
    <w:rsid w:val="003F1175"/>
    <w:rsid w:val="003F34B3"/>
    <w:rsid w:val="003F4062"/>
    <w:rsid w:val="003F5511"/>
    <w:rsid w:val="0040117C"/>
    <w:rsid w:val="00412B62"/>
    <w:rsid w:val="004334B6"/>
    <w:rsid w:val="004339C6"/>
    <w:rsid w:val="00447194"/>
    <w:rsid w:val="00452BBF"/>
    <w:rsid w:val="00452E50"/>
    <w:rsid w:val="00471F47"/>
    <w:rsid w:val="004875CD"/>
    <w:rsid w:val="004A389D"/>
    <w:rsid w:val="004A6E41"/>
    <w:rsid w:val="004C649C"/>
    <w:rsid w:val="004E1662"/>
    <w:rsid w:val="004E5AC1"/>
    <w:rsid w:val="004E79F3"/>
    <w:rsid w:val="004E7DA9"/>
    <w:rsid w:val="004F75FC"/>
    <w:rsid w:val="00520660"/>
    <w:rsid w:val="005228B2"/>
    <w:rsid w:val="00522B5D"/>
    <w:rsid w:val="0053472C"/>
    <w:rsid w:val="00536CD4"/>
    <w:rsid w:val="00537BF8"/>
    <w:rsid w:val="00553C98"/>
    <w:rsid w:val="0055577B"/>
    <w:rsid w:val="00556A7C"/>
    <w:rsid w:val="005609E2"/>
    <w:rsid w:val="00575DCF"/>
    <w:rsid w:val="00582280"/>
    <w:rsid w:val="00584E27"/>
    <w:rsid w:val="00590528"/>
    <w:rsid w:val="005916DF"/>
    <w:rsid w:val="005A34D5"/>
    <w:rsid w:val="005A4D32"/>
    <w:rsid w:val="005D60B1"/>
    <w:rsid w:val="00602F1F"/>
    <w:rsid w:val="00617345"/>
    <w:rsid w:val="00617BFD"/>
    <w:rsid w:val="00621712"/>
    <w:rsid w:val="0062357A"/>
    <w:rsid w:val="00627B07"/>
    <w:rsid w:val="00627E1F"/>
    <w:rsid w:val="006475EE"/>
    <w:rsid w:val="00647C93"/>
    <w:rsid w:val="006500AD"/>
    <w:rsid w:val="006509B0"/>
    <w:rsid w:val="00653928"/>
    <w:rsid w:val="006603B6"/>
    <w:rsid w:val="0067317D"/>
    <w:rsid w:val="00674916"/>
    <w:rsid w:val="0068017D"/>
    <w:rsid w:val="00681D09"/>
    <w:rsid w:val="00691A14"/>
    <w:rsid w:val="006926C1"/>
    <w:rsid w:val="00694B77"/>
    <w:rsid w:val="006A0364"/>
    <w:rsid w:val="006A55CA"/>
    <w:rsid w:val="006A62E7"/>
    <w:rsid w:val="006B1D39"/>
    <w:rsid w:val="006B250F"/>
    <w:rsid w:val="006B4A36"/>
    <w:rsid w:val="006E29E9"/>
    <w:rsid w:val="006F582A"/>
    <w:rsid w:val="00714DC5"/>
    <w:rsid w:val="0071767F"/>
    <w:rsid w:val="00733D83"/>
    <w:rsid w:val="00754F62"/>
    <w:rsid w:val="00757224"/>
    <w:rsid w:val="00760650"/>
    <w:rsid w:val="00782B49"/>
    <w:rsid w:val="00784E9E"/>
    <w:rsid w:val="00797287"/>
    <w:rsid w:val="007B0E04"/>
    <w:rsid w:val="007B3530"/>
    <w:rsid w:val="007B3812"/>
    <w:rsid w:val="007B79FC"/>
    <w:rsid w:val="007C37F7"/>
    <w:rsid w:val="007C6FFD"/>
    <w:rsid w:val="007D3926"/>
    <w:rsid w:val="007D626B"/>
    <w:rsid w:val="007E5F91"/>
    <w:rsid w:val="007E61BA"/>
    <w:rsid w:val="007E6A88"/>
    <w:rsid w:val="007F0961"/>
    <w:rsid w:val="008046C3"/>
    <w:rsid w:val="0081756C"/>
    <w:rsid w:val="00817BF0"/>
    <w:rsid w:val="00821BB7"/>
    <w:rsid w:val="00830915"/>
    <w:rsid w:val="00834D5A"/>
    <w:rsid w:val="00840723"/>
    <w:rsid w:val="00861D9E"/>
    <w:rsid w:val="00865F14"/>
    <w:rsid w:val="008661DE"/>
    <w:rsid w:val="00867A56"/>
    <w:rsid w:val="00875EF4"/>
    <w:rsid w:val="00880BD2"/>
    <w:rsid w:val="00880F80"/>
    <w:rsid w:val="008902DB"/>
    <w:rsid w:val="008972E5"/>
    <w:rsid w:val="008975A1"/>
    <w:rsid w:val="008B1592"/>
    <w:rsid w:val="008B55F0"/>
    <w:rsid w:val="008D6BB0"/>
    <w:rsid w:val="008F7823"/>
    <w:rsid w:val="00906566"/>
    <w:rsid w:val="00912D01"/>
    <w:rsid w:val="009132ED"/>
    <w:rsid w:val="00917720"/>
    <w:rsid w:val="009217F1"/>
    <w:rsid w:val="00921E4E"/>
    <w:rsid w:val="00922034"/>
    <w:rsid w:val="00926E2A"/>
    <w:rsid w:val="009334BA"/>
    <w:rsid w:val="00945073"/>
    <w:rsid w:val="0096044B"/>
    <w:rsid w:val="00966210"/>
    <w:rsid w:val="009705EE"/>
    <w:rsid w:val="0097183B"/>
    <w:rsid w:val="00975F82"/>
    <w:rsid w:val="009803B6"/>
    <w:rsid w:val="00981E4E"/>
    <w:rsid w:val="00986F96"/>
    <w:rsid w:val="00990E0D"/>
    <w:rsid w:val="009A22FB"/>
    <w:rsid w:val="009A7D42"/>
    <w:rsid w:val="009B42B6"/>
    <w:rsid w:val="009E44F9"/>
    <w:rsid w:val="009E72DA"/>
    <w:rsid w:val="009F4E87"/>
    <w:rsid w:val="00A055D2"/>
    <w:rsid w:val="00A13FE5"/>
    <w:rsid w:val="00A17206"/>
    <w:rsid w:val="00A2137E"/>
    <w:rsid w:val="00A316A6"/>
    <w:rsid w:val="00A3195D"/>
    <w:rsid w:val="00A40509"/>
    <w:rsid w:val="00A42479"/>
    <w:rsid w:val="00A5071A"/>
    <w:rsid w:val="00A605C4"/>
    <w:rsid w:val="00A61A27"/>
    <w:rsid w:val="00A650EE"/>
    <w:rsid w:val="00A77458"/>
    <w:rsid w:val="00AA7137"/>
    <w:rsid w:val="00AB6F9D"/>
    <w:rsid w:val="00AC4680"/>
    <w:rsid w:val="00AC790F"/>
    <w:rsid w:val="00AD0302"/>
    <w:rsid w:val="00AD2F95"/>
    <w:rsid w:val="00AD6B9B"/>
    <w:rsid w:val="00AE0D87"/>
    <w:rsid w:val="00AE5732"/>
    <w:rsid w:val="00AF0FDC"/>
    <w:rsid w:val="00B143B2"/>
    <w:rsid w:val="00B25CA1"/>
    <w:rsid w:val="00B264C2"/>
    <w:rsid w:val="00B30B0D"/>
    <w:rsid w:val="00B31C05"/>
    <w:rsid w:val="00B444CA"/>
    <w:rsid w:val="00B50B9B"/>
    <w:rsid w:val="00B51999"/>
    <w:rsid w:val="00B5317C"/>
    <w:rsid w:val="00B66FEB"/>
    <w:rsid w:val="00B82C0F"/>
    <w:rsid w:val="00B93869"/>
    <w:rsid w:val="00B93BF5"/>
    <w:rsid w:val="00B93D9D"/>
    <w:rsid w:val="00B97D31"/>
    <w:rsid w:val="00BB4284"/>
    <w:rsid w:val="00BB43BC"/>
    <w:rsid w:val="00BB6069"/>
    <w:rsid w:val="00BC1D69"/>
    <w:rsid w:val="00BD1E9F"/>
    <w:rsid w:val="00BD3F36"/>
    <w:rsid w:val="00BE597C"/>
    <w:rsid w:val="00BE68F2"/>
    <w:rsid w:val="00BE7767"/>
    <w:rsid w:val="00BF3341"/>
    <w:rsid w:val="00C0490E"/>
    <w:rsid w:val="00C04B7F"/>
    <w:rsid w:val="00C07291"/>
    <w:rsid w:val="00C10C76"/>
    <w:rsid w:val="00C12CD2"/>
    <w:rsid w:val="00C12E7C"/>
    <w:rsid w:val="00C15208"/>
    <w:rsid w:val="00C1556F"/>
    <w:rsid w:val="00C16E51"/>
    <w:rsid w:val="00C219B3"/>
    <w:rsid w:val="00C225F8"/>
    <w:rsid w:val="00C24E74"/>
    <w:rsid w:val="00C272BF"/>
    <w:rsid w:val="00C50507"/>
    <w:rsid w:val="00C511A9"/>
    <w:rsid w:val="00C6051D"/>
    <w:rsid w:val="00C65E70"/>
    <w:rsid w:val="00C706B5"/>
    <w:rsid w:val="00C76195"/>
    <w:rsid w:val="00C76378"/>
    <w:rsid w:val="00C827CD"/>
    <w:rsid w:val="00C84C23"/>
    <w:rsid w:val="00C900C5"/>
    <w:rsid w:val="00C95300"/>
    <w:rsid w:val="00C9682B"/>
    <w:rsid w:val="00CA2079"/>
    <w:rsid w:val="00CB110D"/>
    <w:rsid w:val="00CC26BB"/>
    <w:rsid w:val="00CD259C"/>
    <w:rsid w:val="00CD4F58"/>
    <w:rsid w:val="00CE4873"/>
    <w:rsid w:val="00CE4DDB"/>
    <w:rsid w:val="00CE7EF1"/>
    <w:rsid w:val="00CF6F47"/>
    <w:rsid w:val="00D03376"/>
    <w:rsid w:val="00D20C53"/>
    <w:rsid w:val="00D2785F"/>
    <w:rsid w:val="00D44C2B"/>
    <w:rsid w:val="00D44D2B"/>
    <w:rsid w:val="00D60B8F"/>
    <w:rsid w:val="00D7591F"/>
    <w:rsid w:val="00D7624D"/>
    <w:rsid w:val="00D92754"/>
    <w:rsid w:val="00DA0318"/>
    <w:rsid w:val="00DA1AEB"/>
    <w:rsid w:val="00DA7E2A"/>
    <w:rsid w:val="00DB28B4"/>
    <w:rsid w:val="00DD019E"/>
    <w:rsid w:val="00DD0ED8"/>
    <w:rsid w:val="00DD4D57"/>
    <w:rsid w:val="00DD634C"/>
    <w:rsid w:val="00DE47E0"/>
    <w:rsid w:val="00DF13CC"/>
    <w:rsid w:val="00DF31E0"/>
    <w:rsid w:val="00DF6277"/>
    <w:rsid w:val="00DF6527"/>
    <w:rsid w:val="00E01F54"/>
    <w:rsid w:val="00E11E8C"/>
    <w:rsid w:val="00E15029"/>
    <w:rsid w:val="00E2349D"/>
    <w:rsid w:val="00E23A2E"/>
    <w:rsid w:val="00E264CE"/>
    <w:rsid w:val="00E30230"/>
    <w:rsid w:val="00E32BDF"/>
    <w:rsid w:val="00E33173"/>
    <w:rsid w:val="00E43924"/>
    <w:rsid w:val="00E4784A"/>
    <w:rsid w:val="00E51070"/>
    <w:rsid w:val="00E55EC2"/>
    <w:rsid w:val="00E62874"/>
    <w:rsid w:val="00E639F9"/>
    <w:rsid w:val="00E96C9D"/>
    <w:rsid w:val="00EB0A3E"/>
    <w:rsid w:val="00EC1CCF"/>
    <w:rsid w:val="00EC42AD"/>
    <w:rsid w:val="00ED55FF"/>
    <w:rsid w:val="00EE7B7D"/>
    <w:rsid w:val="00EF094D"/>
    <w:rsid w:val="00EF1C50"/>
    <w:rsid w:val="00EF44EC"/>
    <w:rsid w:val="00F017BE"/>
    <w:rsid w:val="00F04DA4"/>
    <w:rsid w:val="00F1075F"/>
    <w:rsid w:val="00F123C9"/>
    <w:rsid w:val="00F1253F"/>
    <w:rsid w:val="00F17389"/>
    <w:rsid w:val="00F2080D"/>
    <w:rsid w:val="00F247B4"/>
    <w:rsid w:val="00F271F9"/>
    <w:rsid w:val="00F30B9B"/>
    <w:rsid w:val="00F34DEA"/>
    <w:rsid w:val="00F42F12"/>
    <w:rsid w:val="00F42F57"/>
    <w:rsid w:val="00F46773"/>
    <w:rsid w:val="00F675CD"/>
    <w:rsid w:val="00F81AC8"/>
    <w:rsid w:val="00F96124"/>
    <w:rsid w:val="00F96EC6"/>
    <w:rsid w:val="00FA0B7E"/>
    <w:rsid w:val="00FA147D"/>
    <w:rsid w:val="00FD1430"/>
    <w:rsid w:val="00FE0C52"/>
    <w:rsid w:val="00FE18BC"/>
    <w:rsid w:val="00FE601F"/>
    <w:rsid w:val="00FF03AE"/>
    <w:rsid w:val="02EC130B"/>
    <w:rsid w:val="04B34EFE"/>
    <w:rsid w:val="06D40BE5"/>
    <w:rsid w:val="06EB281A"/>
    <w:rsid w:val="074A2459"/>
    <w:rsid w:val="074A53D1"/>
    <w:rsid w:val="078874C5"/>
    <w:rsid w:val="07A17511"/>
    <w:rsid w:val="07B91ED6"/>
    <w:rsid w:val="092B4317"/>
    <w:rsid w:val="0A410D61"/>
    <w:rsid w:val="0BB565B1"/>
    <w:rsid w:val="0BEE462D"/>
    <w:rsid w:val="0C9704EB"/>
    <w:rsid w:val="0E05536B"/>
    <w:rsid w:val="0F030974"/>
    <w:rsid w:val="0F3C02B6"/>
    <w:rsid w:val="0F414BDF"/>
    <w:rsid w:val="0F4B58CF"/>
    <w:rsid w:val="105D6CDE"/>
    <w:rsid w:val="107C3429"/>
    <w:rsid w:val="10A83678"/>
    <w:rsid w:val="11D44511"/>
    <w:rsid w:val="123228ED"/>
    <w:rsid w:val="12353631"/>
    <w:rsid w:val="13D529D6"/>
    <w:rsid w:val="13E55C7E"/>
    <w:rsid w:val="14D61C18"/>
    <w:rsid w:val="15542EF1"/>
    <w:rsid w:val="15D6208E"/>
    <w:rsid w:val="18F84BCF"/>
    <w:rsid w:val="1A770759"/>
    <w:rsid w:val="1A873E90"/>
    <w:rsid w:val="1B2236A3"/>
    <w:rsid w:val="1B3501FE"/>
    <w:rsid w:val="1C280D3F"/>
    <w:rsid w:val="1E7C51A0"/>
    <w:rsid w:val="1EA31F7A"/>
    <w:rsid w:val="1EAB563F"/>
    <w:rsid w:val="1F235B73"/>
    <w:rsid w:val="1F3C0F11"/>
    <w:rsid w:val="203B6491"/>
    <w:rsid w:val="20B53430"/>
    <w:rsid w:val="21015550"/>
    <w:rsid w:val="211461CA"/>
    <w:rsid w:val="219D5E7A"/>
    <w:rsid w:val="22145152"/>
    <w:rsid w:val="22215F9A"/>
    <w:rsid w:val="22C10948"/>
    <w:rsid w:val="22DE2A7D"/>
    <w:rsid w:val="24B2529A"/>
    <w:rsid w:val="24DB124F"/>
    <w:rsid w:val="25127CDC"/>
    <w:rsid w:val="25AB7FD5"/>
    <w:rsid w:val="262A022F"/>
    <w:rsid w:val="26D01F34"/>
    <w:rsid w:val="26DE6711"/>
    <w:rsid w:val="27400656"/>
    <w:rsid w:val="281640ED"/>
    <w:rsid w:val="28475ED6"/>
    <w:rsid w:val="29294F75"/>
    <w:rsid w:val="295178A8"/>
    <w:rsid w:val="295D46B6"/>
    <w:rsid w:val="29B055B2"/>
    <w:rsid w:val="29E027C4"/>
    <w:rsid w:val="29E407A8"/>
    <w:rsid w:val="2B293F52"/>
    <w:rsid w:val="2D206443"/>
    <w:rsid w:val="2DC63E07"/>
    <w:rsid w:val="2DED4237"/>
    <w:rsid w:val="2E481C07"/>
    <w:rsid w:val="2E4B2262"/>
    <w:rsid w:val="2E5F48D9"/>
    <w:rsid w:val="2E7513DB"/>
    <w:rsid w:val="2E9D587B"/>
    <w:rsid w:val="2EFA10EB"/>
    <w:rsid w:val="30117BD5"/>
    <w:rsid w:val="30B21D15"/>
    <w:rsid w:val="30DA4C5F"/>
    <w:rsid w:val="30E25ECB"/>
    <w:rsid w:val="313244A7"/>
    <w:rsid w:val="319D2CBE"/>
    <w:rsid w:val="321F0F89"/>
    <w:rsid w:val="323C401E"/>
    <w:rsid w:val="32B5093E"/>
    <w:rsid w:val="32BE019B"/>
    <w:rsid w:val="32E47AED"/>
    <w:rsid w:val="341847E7"/>
    <w:rsid w:val="345614B9"/>
    <w:rsid w:val="34DA5AEB"/>
    <w:rsid w:val="34E01C60"/>
    <w:rsid w:val="34F32CB1"/>
    <w:rsid w:val="35FD3DBA"/>
    <w:rsid w:val="36A908A4"/>
    <w:rsid w:val="370300F7"/>
    <w:rsid w:val="3722467B"/>
    <w:rsid w:val="37FB6841"/>
    <w:rsid w:val="38EC20B0"/>
    <w:rsid w:val="39B147B9"/>
    <w:rsid w:val="3A0C2048"/>
    <w:rsid w:val="3AB17002"/>
    <w:rsid w:val="3AF409DC"/>
    <w:rsid w:val="3BAA5C47"/>
    <w:rsid w:val="3D0D7DD8"/>
    <w:rsid w:val="3D5642D8"/>
    <w:rsid w:val="3D9D3CB5"/>
    <w:rsid w:val="3DD813C2"/>
    <w:rsid w:val="3DFF3A68"/>
    <w:rsid w:val="3E310076"/>
    <w:rsid w:val="3F5D52A2"/>
    <w:rsid w:val="3F685C50"/>
    <w:rsid w:val="40D803C7"/>
    <w:rsid w:val="40DB53FE"/>
    <w:rsid w:val="40E337FC"/>
    <w:rsid w:val="40FE2CBD"/>
    <w:rsid w:val="412D38F9"/>
    <w:rsid w:val="4156060E"/>
    <w:rsid w:val="41630892"/>
    <w:rsid w:val="41B63597"/>
    <w:rsid w:val="422D1B84"/>
    <w:rsid w:val="44455C30"/>
    <w:rsid w:val="445D2423"/>
    <w:rsid w:val="457B7A6B"/>
    <w:rsid w:val="469D4977"/>
    <w:rsid w:val="46AE0EAE"/>
    <w:rsid w:val="46B3028B"/>
    <w:rsid w:val="479F062A"/>
    <w:rsid w:val="47D475AF"/>
    <w:rsid w:val="482429DC"/>
    <w:rsid w:val="48FD1AAC"/>
    <w:rsid w:val="49204A7B"/>
    <w:rsid w:val="492B52F2"/>
    <w:rsid w:val="4A0D3F3A"/>
    <w:rsid w:val="4AB318AC"/>
    <w:rsid w:val="4B2732C6"/>
    <w:rsid w:val="4C337470"/>
    <w:rsid w:val="4C567477"/>
    <w:rsid w:val="4C6B3C12"/>
    <w:rsid w:val="4D5A6798"/>
    <w:rsid w:val="4D9218E1"/>
    <w:rsid w:val="4E884CAB"/>
    <w:rsid w:val="4ED708FC"/>
    <w:rsid w:val="4FCB1DB2"/>
    <w:rsid w:val="51AA0CB7"/>
    <w:rsid w:val="53B743B6"/>
    <w:rsid w:val="5506558A"/>
    <w:rsid w:val="555C27B5"/>
    <w:rsid w:val="55980885"/>
    <w:rsid w:val="55B14544"/>
    <w:rsid w:val="561930D9"/>
    <w:rsid w:val="567275BE"/>
    <w:rsid w:val="57D72232"/>
    <w:rsid w:val="587C624B"/>
    <w:rsid w:val="5B85349C"/>
    <w:rsid w:val="5B994669"/>
    <w:rsid w:val="5BF2290A"/>
    <w:rsid w:val="5BF96B1A"/>
    <w:rsid w:val="5C411DD2"/>
    <w:rsid w:val="5D066D29"/>
    <w:rsid w:val="5DF8293A"/>
    <w:rsid w:val="5EB366A7"/>
    <w:rsid w:val="5F2B5FC0"/>
    <w:rsid w:val="5F3B1A23"/>
    <w:rsid w:val="602F76F0"/>
    <w:rsid w:val="61C12DE2"/>
    <w:rsid w:val="63257780"/>
    <w:rsid w:val="63773ECD"/>
    <w:rsid w:val="646B2C38"/>
    <w:rsid w:val="64F658D5"/>
    <w:rsid w:val="65D4762D"/>
    <w:rsid w:val="662E4882"/>
    <w:rsid w:val="66546D57"/>
    <w:rsid w:val="665F7AD8"/>
    <w:rsid w:val="66E05CD6"/>
    <w:rsid w:val="676C700D"/>
    <w:rsid w:val="67963432"/>
    <w:rsid w:val="67DB7E66"/>
    <w:rsid w:val="68B741B8"/>
    <w:rsid w:val="690643FC"/>
    <w:rsid w:val="69F051D4"/>
    <w:rsid w:val="6AE72CE6"/>
    <w:rsid w:val="6B061E08"/>
    <w:rsid w:val="6B2E1ABE"/>
    <w:rsid w:val="6B554263"/>
    <w:rsid w:val="6C072893"/>
    <w:rsid w:val="6D647255"/>
    <w:rsid w:val="6E4F2B8C"/>
    <w:rsid w:val="6E7C29D5"/>
    <w:rsid w:val="6ED65063"/>
    <w:rsid w:val="6F530905"/>
    <w:rsid w:val="70500A71"/>
    <w:rsid w:val="711B723B"/>
    <w:rsid w:val="71E12FF6"/>
    <w:rsid w:val="72672266"/>
    <w:rsid w:val="72C70B09"/>
    <w:rsid w:val="72FE3595"/>
    <w:rsid w:val="73E94A8B"/>
    <w:rsid w:val="746F4EA7"/>
    <w:rsid w:val="750379B1"/>
    <w:rsid w:val="754F67ED"/>
    <w:rsid w:val="766C628A"/>
    <w:rsid w:val="77AB311E"/>
    <w:rsid w:val="786B08D3"/>
    <w:rsid w:val="787024E3"/>
    <w:rsid w:val="78BD00C7"/>
    <w:rsid w:val="79AC72A7"/>
    <w:rsid w:val="7A215A5A"/>
    <w:rsid w:val="7AA921BC"/>
    <w:rsid w:val="7B03233B"/>
    <w:rsid w:val="7B0705ED"/>
    <w:rsid w:val="7B8063CB"/>
    <w:rsid w:val="7BDF773E"/>
    <w:rsid w:val="7C8C3918"/>
    <w:rsid w:val="7E3D0C67"/>
    <w:rsid w:val="7F296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2"/>
      <w:sz w:val="21"/>
      <w:szCs w:val="24"/>
      <w:lang w:val="en-US" w:eastAsia="zh-CN" w:bidi="ar-SA"/>
    </w:rPr>
  </w:style>
  <w:style w:type="paragraph" w:styleId="2">
    <w:name w:val="heading 1"/>
    <w:basedOn w:val="1"/>
    <w:next w:val="1"/>
    <w:link w:val="50"/>
    <w:qFormat/>
    <w:uiPriority w:val="0"/>
    <w:pPr>
      <w:keepNext/>
      <w:keepLines/>
      <w:adjustRightInd w:val="0"/>
      <w:snapToGrid w:val="0"/>
      <w:spacing w:line="360" w:lineRule="auto"/>
      <w:jc w:val="center"/>
      <w:outlineLvl w:val="0"/>
    </w:pPr>
    <w:rPr>
      <w:rFonts w:eastAsia="楷体"/>
      <w:b/>
      <w:bCs/>
      <w:kern w:val="44"/>
      <w:sz w:val="36"/>
      <w:szCs w:val="44"/>
    </w:rPr>
  </w:style>
  <w:style w:type="paragraph" w:styleId="3">
    <w:name w:val="heading 2"/>
    <w:basedOn w:val="1"/>
    <w:next w:val="1"/>
    <w:link w:val="51"/>
    <w:qFormat/>
    <w:uiPriority w:val="0"/>
    <w:pPr>
      <w:keepNext/>
      <w:keepLines/>
      <w:adjustRightInd w:val="0"/>
      <w:snapToGrid w:val="0"/>
      <w:jc w:val="center"/>
      <w:outlineLvl w:val="1"/>
    </w:pPr>
    <w:rPr>
      <w:rFonts w:ascii="Arial" w:hAnsi="Arial" w:eastAsia="楷体"/>
      <w:b/>
      <w:bCs/>
      <w:sz w:val="24"/>
      <w:szCs w:val="32"/>
    </w:rPr>
  </w:style>
  <w:style w:type="paragraph" w:styleId="4">
    <w:name w:val="heading 3"/>
    <w:basedOn w:val="1"/>
    <w:next w:val="1"/>
    <w:link w:val="52"/>
    <w:qFormat/>
    <w:uiPriority w:val="0"/>
    <w:pPr>
      <w:keepNext/>
      <w:keepLines/>
      <w:spacing w:before="260" w:after="260" w:line="413" w:lineRule="auto"/>
      <w:outlineLvl w:val="2"/>
    </w:pPr>
    <w:rPr>
      <w:b/>
      <w:sz w:val="32"/>
      <w:szCs w:val="20"/>
    </w:rPr>
  </w:style>
  <w:style w:type="paragraph" w:styleId="5">
    <w:name w:val="heading 4"/>
    <w:basedOn w:val="1"/>
    <w:next w:val="1"/>
    <w:link w:val="53"/>
    <w:qFormat/>
    <w:uiPriority w:val="9"/>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6">
    <w:name w:val="heading 5"/>
    <w:basedOn w:val="1"/>
    <w:next w:val="1"/>
    <w:link w:val="54"/>
    <w:qFormat/>
    <w:uiPriority w:val="0"/>
    <w:pPr>
      <w:keepNext/>
      <w:keepLines/>
      <w:adjustRightInd w:val="0"/>
      <w:spacing w:before="280" w:after="290" w:line="376" w:lineRule="atLeast"/>
      <w:textAlignment w:val="baseline"/>
      <w:outlineLvl w:val="4"/>
    </w:pPr>
    <w:rPr>
      <w:b/>
      <w:kern w:val="0"/>
      <w:sz w:val="28"/>
      <w:szCs w:val="20"/>
    </w:rPr>
  </w:style>
  <w:style w:type="paragraph" w:styleId="7">
    <w:name w:val="heading 6"/>
    <w:basedOn w:val="1"/>
    <w:next w:val="1"/>
    <w:link w:val="55"/>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8">
    <w:name w:val="heading 7"/>
    <w:basedOn w:val="1"/>
    <w:next w:val="1"/>
    <w:link w:val="56"/>
    <w:qFormat/>
    <w:uiPriority w:val="0"/>
    <w:pPr>
      <w:keepNext/>
      <w:keepLines/>
      <w:adjustRightInd w:val="0"/>
      <w:spacing w:before="240" w:after="64" w:line="320" w:lineRule="atLeast"/>
      <w:textAlignment w:val="baseline"/>
      <w:outlineLvl w:val="6"/>
    </w:pPr>
    <w:rPr>
      <w:b/>
      <w:kern w:val="0"/>
      <w:sz w:val="24"/>
      <w:szCs w:val="20"/>
    </w:rPr>
  </w:style>
  <w:style w:type="paragraph" w:styleId="9">
    <w:name w:val="heading 8"/>
    <w:basedOn w:val="1"/>
    <w:next w:val="1"/>
    <w:link w:val="57"/>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0">
    <w:name w:val="heading 9"/>
    <w:basedOn w:val="1"/>
    <w:next w:val="1"/>
    <w:link w:val="58"/>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ind w:firstLine="420" w:firstLineChars="200"/>
    </w:pPr>
  </w:style>
  <w:style w:type="paragraph" w:styleId="12">
    <w:name w:val="caption"/>
    <w:basedOn w:val="1"/>
    <w:next w:val="1"/>
    <w:qFormat/>
    <w:uiPriority w:val="35"/>
    <w:pPr>
      <w:spacing w:before="120" w:after="120"/>
    </w:pPr>
    <w:rPr>
      <w:b/>
    </w:rPr>
  </w:style>
  <w:style w:type="paragraph" w:styleId="13">
    <w:name w:val="Document Map"/>
    <w:basedOn w:val="1"/>
    <w:link w:val="71"/>
    <w:qFormat/>
    <w:uiPriority w:val="99"/>
    <w:pPr>
      <w:shd w:val="clear" w:color="auto" w:fill="000080"/>
    </w:pPr>
  </w:style>
  <w:style w:type="paragraph" w:styleId="14">
    <w:name w:val="annotation text"/>
    <w:basedOn w:val="1"/>
    <w:link w:val="69"/>
    <w:unhideWhenUsed/>
    <w:qFormat/>
    <w:uiPriority w:val="99"/>
  </w:style>
  <w:style w:type="paragraph" w:styleId="15">
    <w:name w:val="Salutation"/>
    <w:basedOn w:val="1"/>
    <w:next w:val="1"/>
    <w:link w:val="169"/>
    <w:qFormat/>
    <w:uiPriority w:val="0"/>
    <w:rPr>
      <w:szCs w:val="20"/>
    </w:rPr>
  </w:style>
  <w:style w:type="paragraph" w:styleId="16">
    <w:name w:val="Body Text 3"/>
    <w:basedOn w:val="1"/>
    <w:link w:val="266"/>
    <w:semiHidden/>
    <w:unhideWhenUsed/>
    <w:qFormat/>
    <w:uiPriority w:val="99"/>
    <w:pPr>
      <w:spacing w:after="120"/>
    </w:pPr>
    <w:rPr>
      <w:sz w:val="16"/>
      <w:szCs w:val="16"/>
    </w:rPr>
  </w:style>
  <w:style w:type="paragraph" w:styleId="17">
    <w:name w:val="List Bullet 3"/>
    <w:basedOn w:val="1"/>
    <w:qFormat/>
    <w:uiPriority w:val="0"/>
    <w:pPr>
      <w:tabs>
        <w:tab w:val="left" w:pos="720"/>
      </w:tabs>
      <w:ind w:left="720" w:hanging="720"/>
      <w:outlineLvl w:val="0"/>
    </w:pPr>
    <w:rPr>
      <w:color w:val="0000FF"/>
      <w:sz w:val="24"/>
      <w:szCs w:val="20"/>
    </w:rPr>
  </w:style>
  <w:style w:type="paragraph" w:styleId="18">
    <w:name w:val="Body Text"/>
    <w:basedOn w:val="1"/>
    <w:link w:val="72"/>
    <w:qFormat/>
    <w:uiPriority w:val="0"/>
    <w:pPr>
      <w:spacing w:after="120"/>
    </w:pPr>
  </w:style>
  <w:style w:type="paragraph" w:styleId="19">
    <w:name w:val="Body Text Indent"/>
    <w:basedOn w:val="1"/>
    <w:link w:val="74"/>
    <w:qFormat/>
    <w:uiPriority w:val="0"/>
    <w:pPr>
      <w:autoSpaceDE w:val="0"/>
      <w:autoSpaceDN w:val="0"/>
      <w:adjustRightInd w:val="0"/>
      <w:spacing w:line="460" w:lineRule="exact"/>
      <w:ind w:firstLine="570"/>
    </w:pPr>
    <w:rPr>
      <w:rFonts w:ascii="宋体"/>
      <w:kern w:val="0"/>
      <w:sz w:val="24"/>
      <w:szCs w:val="20"/>
    </w:rPr>
  </w:style>
  <w:style w:type="paragraph" w:styleId="20">
    <w:name w:val="List 2"/>
    <w:basedOn w:val="1"/>
    <w:qFormat/>
    <w:uiPriority w:val="0"/>
    <w:pPr>
      <w:ind w:left="100" w:leftChars="200" w:hanging="200" w:hangingChars="200"/>
    </w:pPr>
  </w:style>
  <w:style w:type="paragraph" w:styleId="21">
    <w:name w:val="toc 3"/>
    <w:basedOn w:val="1"/>
    <w:next w:val="1"/>
    <w:qFormat/>
    <w:uiPriority w:val="39"/>
    <w:pPr>
      <w:ind w:left="840" w:leftChars="400"/>
    </w:pPr>
  </w:style>
  <w:style w:type="paragraph" w:styleId="22">
    <w:name w:val="Plain Text"/>
    <w:basedOn w:val="1"/>
    <w:link w:val="75"/>
    <w:qFormat/>
    <w:uiPriority w:val="99"/>
    <w:rPr>
      <w:rFonts w:ascii="宋体" w:hAnsi="Courier New"/>
      <w:sz w:val="19"/>
      <w:szCs w:val="20"/>
    </w:rPr>
  </w:style>
  <w:style w:type="paragraph" w:styleId="23">
    <w:name w:val="Date"/>
    <w:basedOn w:val="1"/>
    <w:next w:val="1"/>
    <w:link w:val="76"/>
    <w:qFormat/>
    <w:uiPriority w:val="99"/>
    <w:pPr>
      <w:autoSpaceDE w:val="0"/>
      <w:autoSpaceDN w:val="0"/>
      <w:adjustRightInd w:val="0"/>
    </w:pPr>
    <w:rPr>
      <w:rFonts w:ascii="宋体"/>
      <w:kern w:val="0"/>
      <w:sz w:val="28"/>
      <w:szCs w:val="20"/>
    </w:rPr>
  </w:style>
  <w:style w:type="paragraph" w:styleId="24">
    <w:name w:val="Body Text Indent 2"/>
    <w:basedOn w:val="1"/>
    <w:link w:val="77"/>
    <w:qFormat/>
    <w:uiPriority w:val="0"/>
    <w:pPr>
      <w:spacing w:line="600" w:lineRule="atLeast"/>
      <w:ind w:left="241" w:leftChars="241" w:firstLine="647" w:firstLineChars="231"/>
    </w:pPr>
    <w:rPr>
      <w:sz w:val="28"/>
      <w:szCs w:val="20"/>
    </w:rPr>
  </w:style>
  <w:style w:type="paragraph" w:styleId="25">
    <w:name w:val="Balloon Text"/>
    <w:basedOn w:val="1"/>
    <w:link w:val="79"/>
    <w:qFormat/>
    <w:uiPriority w:val="99"/>
    <w:rPr>
      <w:sz w:val="18"/>
      <w:szCs w:val="18"/>
    </w:rPr>
  </w:style>
  <w:style w:type="paragraph" w:styleId="26">
    <w:name w:val="footer"/>
    <w:basedOn w:val="1"/>
    <w:link w:val="60"/>
    <w:unhideWhenUsed/>
    <w:qFormat/>
    <w:uiPriority w:val="0"/>
    <w:pPr>
      <w:tabs>
        <w:tab w:val="center" w:pos="4153"/>
        <w:tab w:val="right" w:pos="8306"/>
      </w:tabs>
      <w:snapToGrid w:val="0"/>
    </w:pPr>
    <w:rPr>
      <w:sz w:val="18"/>
      <w:szCs w:val="18"/>
    </w:rPr>
  </w:style>
  <w:style w:type="paragraph" w:styleId="27">
    <w:name w:val="header"/>
    <w:basedOn w:val="1"/>
    <w:link w:val="59"/>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right" w:leader="dot" w:pos="8302"/>
      </w:tabs>
    </w:pPr>
  </w:style>
  <w:style w:type="paragraph" w:styleId="29">
    <w:name w:val="footnote text"/>
    <w:basedOn w:val="1"/>
    <w:link w:val="82"/>
    <w:qFormat/>
    <w:uiPriority w:val="0"/>
    <w:pPr>
      <w:snapToGrid w:val="0"/>
    </w:pPr>
    <w:rPr>
      <w:sz w:val="18"/>
      <w:szCs w:val="18"/>
    </w:rPr>
  </w:style>
  <w:style w:type="paragraph" w:styleId="30">
    <w:name w:val="Body Text Indent 3"/>
    <w:basedOn w:val="1"/>
    <w:link w:val="83"/>
    <w:qFormat/>
    <w:uiPriority w:val="0"/>
    <w:pPr>
      <w:spacing w:line="360" w:lineRule="auto"/>
      <w:ind w:right="67" w:firstLine="420"/>
    </w:pPr>
    <w:rPr>
      <w:color w:val="FF0000"/>
      <w:sz w:val="24"/>
    </w:rPr>
  </w:style>
  <w:style w:type="paragraph" w:styleId="31">
    <w:name w:val="toc 2"/>
    <w:basedOn w:val="1"/>
    <w:next w:val="1"/>
    <w:qFormat/>
    <w:uiPriority w:val="39"/>
    <w:pPr>
      <w:ind w:left="420" w:leftChars="200"/>
    </w:pPr>
  </w:style>
  <w:style w:type="paragraph" w:styleId="32">
    <w:name w:val="Body Text 2"/>
    <w:basedOn w:val="1"/>
    <w:link w:val="191"/>
    <w:semiHidden/>
    <w:qFormat/>
    <w:uiPriority w:val="0"/>
    <w:pPr>
      <w:tabs>
        <w:tab w:val="left" w:pos="6742"/>
        <w:tab w:val="left" w:pos="7234"/>
        <w:tab w:val="left" w:leader="hyphen" w:pos="8431"/>
      </w:tabs>
      <w:spacing w:before="60" w:after="60"/>
    </w:pPr>
    <w:rPr>
      <w:i/>
      <w:kern w:val="0"/>
      <w:sz w:val="24"/>
      <w:szCs w:val="20"/>
      <w:lang w:val="it-IT"/>
    </w:rPr>
  </w:style>
  <w:style w:type="paragraph" w:styleId="33">
    <w:name w:val="HTML Preformatted"/>
    <w:basedOn w:val="1"/>
    <w:link w:val="179"/>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kern w:val="0"/>
      <w:sz w:val="24"/>
    </w:rPr>
  </w:style>
  <w:style w:type="paragraph" w:styleId="34">
    <w:name w:val="Normal (Web)"/>
    <w:basedOn w:val="1"/>
    <w:qFormat/>
    <w:uiPriority w:val="99"/>
    <w:pPr>
      <w:spacing w:before="100" w:beforeAutospacing="1" w:after="100" w:afterAutospacing="1"/>
    </w:pPr>
    <w:rPr>
      <w:rFonts w:ascii="Arial Unicode MS" w:hAnsi="Arial Unicode MS" w:eastAsia="Arial Unicode MS" w:cs="Arial Unicode MS"/>
      <w:color w:val="000000"/>
      <w:kern w:val="0"/>
      <w:sz w:val="24"/>
    </w:rPr>
  </w:style>
  <w:style w:type="paragraph" w:styleId="35">
    <w:name w:val="Title"/>
    <w:basedOn w:val="1"/>
    <w:link w:val="222"/>
    <w:qFormat/>
    <w:uiPriority w:val="0"/>
    <w:pPr>
      <w:tabs>
        <w:tab w:val="left" w:pos="360"/>
      </w:tabs>
      <w:spacing w:before="240" w:after="60"/>
      <w:ind w:left="360" w:hanging="360"/>
      <w:jc w:val="center"/>
      <w:outlineLvl w:val="0"/>
    </w:pPr>
    <w:rPr>
      <w:rFonts w:ascii="Arial" w:hAnsi="Arial" w:cs="Arial"/>
      <w:b/>
      <w:bCs/>
      <w:sz w:val="32"/>
      <w:szCs w:val="32"/>
    </w:rPr>
  </w:style>
  <w:style w:type="paragraph" w:styleId="36">
    <w:name w:val="annotation subject"/>
    <w:basedOn w:val="14"/>
    <w:next w:val="14"/>
    <w:link w:val="70"/>
    <w:qFormat/>
    <w:uiPriority w:val="99"/>
    <w:rPr>
      <w:b/>
      <w:bCs/>
    </w:rPr>
  </w:style>
  <w:style w:type="paragraph" w:styleId="37">
    <w:name w:val="Body Text First Indent"/>
    <w:basedOn w:val="18"/>
    <w:link w:val="193"/>
    <w:qFormat/>
    <w:uiPriority w:val="0"/>
    <w:pPr>
      <w:ind w:firstLine="420" w:firstLineChars="100"/>
    </w:pPr>
  </w:style>
  <w:style w:type="paragraph" w:styleId="38">
    <w:name w:val="Body Text First Indent 2"/>
    <w:basedOn w:val="19"/>
    <w:link w:val="80"/>
    <w:qFormat/>
    <w:uiPriority w:val="0"/>
    <w:pPr>
      <w:widowControl w:val="0"/>
      <w:autoSpaceDE/>
      <w:autoSpaceDN/>
      <w:adjustRightInd/>
      <w:spacing w:after="120" w:line="360" w:lineRule="auto"/>
      <w:ind w:left="420" w:firstLine="210"/>
      <w:jc w:val="both"/>
    </w:pPr>
    <w:rPr>
      <w:rFonts w:ascii="Times New Roman"/>
      <w:kern w:val="2"/>
    </w:rPr>
  </w:style>
  <w:style w:type="table" w:styleId="40">
    <w:name w:val="Table Grid"/>
    <w:basedOn w:val="3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0"/>
    <w:rPr>
      <w:b/>
      <w:bCs/>
    </w:rPr>
  </w:style>
  <w:style w:type="character" w:styleId="43">
    <w:name w:val="page number"/>
    <w:basedOn w:val="41"/>
    <w:qFormat/>
    <w:uiPriority w:val="0"/>
  </w:style>
  <w:style w:type="character" w:styleId="44">
    <w:name w:val="FollowedHyperlink"/>
    <w:qFormat/>
    <w:uiPriority w:val="99"/>
    <w:rPr>
      <w:color w:val="800080"/>
      <w:u w:val="single"/>
    </w:rPr>
  </w:style>
  <w:style w:type="character" w:styleId="45">
    <w:name w:val="Emphasis"/>
    <w:qFormat/>
    <w:uiPriority w:val="20"/>
    <w:rPr>
      <w:color w:val="CC0000"/>
    </w:rPr>
  </w:style>
  <w:style w:type="character" w:styleId="46">
    <w:name w:val="Hyperlink"/>
    <w:qFormat/>
    <w:uiPriority w:val="99"/>
    <w:rPr>
      <w:color w:val="0000FF"/>
      <w:u w:val="single"/>
    </w:rPr>
  </w:style>
  <w:style w:type="character" w:styleId="47">
    <w:name w:val="annotation reference"/>
    <w:qFormat/>
    <w:uiPriority w:val="99"/>
    <w:rPr>
      <w:sz w:val="21"/>
      <w:szCs w:val="21"/>
    </w:rPr>
  </w:style>
  <w:style w:type="character" w:styleId="48">
    <w:name w:val="HTML Cite"/>
    <w:qFormat/>
    <w:uiPriority w:val="0"/>
    <w:rPr>
      <w:color w:val="008000"/>
    </w:rPr>
  </w:style>
  <w:style w:type="character" w:styleId="49">
    <w:name w:val="footnote reference"/>
    <w:qFormat/>
    <w:uiPriority w:val="0"/>
    <w:rPr>
      <w:vertAlign w:val="superscript"/>
    </w:rPr>
  </w:style>
  <w:style w:type="character" w:customStyle="1" w:styleId="50">
    <w:name w:val="标题 1 Char"/>
    <w:basedOn w:val="41"/>
    <w:link w:val="2"/>
    <w:qFormat/>
    <w:uiPriority w:val="0"/>
    <w:rPr>
      <w:rFonts w:ascii="Times New Roman" w:hAnsi="Times New Roman" w:eastAsia="楷体" w:cs="Times New Roman"/>
      <w:b/>
      <w:bCs/>
      <w:kern w:val="44"/>
      <w:sz w:val="36"/>
      <w:szCs w:val="44"/>
    </w:rPr>
  </w:style>
  <w:style w:type="character" w:customStyle="1" w:styleId="51">
    <w:name w:val="标题 2 Char2"/>
    <w:link w:val="3"/>
    <w:qFormat/>
    <w:uiPriority w:val="0"/>
    <w:rPr>
      <w:rFonts w:ascii="Arial" w:hAnsi="Arial" w:eastAsia="楷体" w:cs="Times New Roman"/>
      <w:b/>
      <w:bCs/>
      <w:sz w:val="24"/>
      <w:szCs w:val="32"/>
    </w:rPr>
  </w:style>
  <w:style w:type="character" w:customStyle="1" w:styleId="52">
    <w:name w:val="标题 3 Char1"/>
    <w:link w:val="4"/>
    <w:qFormat/>
    <w:uiPriority w:val="0"/>
    <w:rPr>
      <w:rFonts w:ascii="Times New Roman" w:hAnsi="Times New Roman" w:eastAsia="宋体" w:cs="Times New Roman"/>
      <w:b/>
      <w:sz w:val="32"/>
      <w:szCs w:val="20"/>
    </w:rPr>
  </w:style>
  <w:style w:type="character" w:customStyle="1" w:styleId="53">
    <w:name w:val="标题 4 Char1"/>
    <w:link w:val="5"/>
    <w:qFormat/>
    <w:uiPriority w:val="9"/>
    <w:rPr>
      <w:rFonts w:ascii="Arial" w:hAnsi="Arial" w:eastAsia="黑体" w:cs="Times New Roman"/>
      <w:b/>
      <w:kern w:val="0"/>
      <w:sz w:val="28"/>
      <w:szCs w:val="20"/>
    </w:rPr>
  </w:style>
  <w:style w:type="character" w:customStyle="1" w:styleId="54">
    <w:name w:val="标题 5 Char1"/>
    <w:link w:val="6"/>
    <w:qFormat/>
    <w:uiPriority w:val="0"/>
    <w:rPr>
      <w:rFonts w:ascii="Times New Roman" w:hAnsi="Times New Roman" w:eastAsia="宋体" w:cs="Times New Roman"/>
      <w:b/>
      <w:kern w:val="0"/>
      <w:sz w:val="28"/>
      <w:szCs w:val="20"/>
    </w:rPr>
  </w:style>
  <w:style w:type="character" w:customStyle="1" w:styleId="55">
    <w:name w:val="标题 6 Char1"/>
    <w:link w:val="7"/>
    <w:qFormat/>
    <w:uiPriority w:val="0"/>
    <w:rPr>
      <w:rFonts w:ascii="Arial" w:hAnsi="Arial" w:eastAsia="黑体" w:cs="Times New Roman"/>
      <w:b/>
      <w:kern w:val="0"/>
      <w:sz w:val="24"/>
      <w:szCs w:val="20"/>
    </w:rPr>
  </w:style>
  <w:style w:type="character" w:customStyle="1" w:styleId="56">
    <w:name w:val="标题 7 Char1"/>
    <w:link w:val="8"/>
    <w:qFormat/>
    <w:uiPriority w:val="0"/>
    <w:rPr>
      <w:rFonts w:ascii="Times New Roman" w:hAnsi="Times New Roman" w:eastAsia="宋体" w:cs="Times New Roman"/>
      <w:b/>
      <w:kern w:val="0"/>
      <w:sz w:val="24"/>
      <w:szCs w:val="20"/>
    </w:rPr>
  </w:style>
  <w:style w:type="character" w:customStyle="1" w:styleId="57">
    <w:name w:val="标题 8 Char1"/>
    <w:link w:val="9"/>
    <w:qFormat/>
    <w:uiPriority w:val="0"/>
    <w:rPr>
      <w:rFonts w:ascii="Arial" w:hAnsi="Arial" w:eastAsia="黑体" w:cs="Times New Roman"/>
      <w:kern w:val="0"/>
      <w:sz w:val="24"/>
      <w:szCs w:val="20"/>
    </w:rPr>
  </w:style>
  <w:style w:type="character" w:customStyle="1" w:styleId="58">
    <w:name w:val="标题 9 Char1"/>
    <w:link w:val="10"/>
    <w:qFormat/>
    <w:uiPriority w:val="0"/>
    <w:rPr>
      <w:rFonts w:ascii="Arial" w:hAnsi="Arial" w:eastAsia="黑体" w:cs="Times New Roman"/>
      <w:kern w:val="0"/>
      <w:szCs w:val="20"/>
    </w:rPr>
  </w:style>
  <w:style w:type="character" w:customStyle="1" w:styleId="59">
    <w:name w:val="页眉 Char"/>
    <w:basedOn w:val="41"/>
    <w:link w:val="27"/>
    <w:qFormat/>
    <w:uiPriority w:val="0"/>
    <w:rPr>
      <w:sz w:val="18"/>
      <w:szCs w:val="18"/>
    </w:rPr>
  </w:style>
  <w:style w:type="character" w:customStyle="1" w:styleId="60">
    <w:name w:val="页脚 Char"/>
    <w:basedOn w:val="41"/>
    <w:link w:val="26"/>
    <w:qFormat/>
    <w:uiPriority w:val="0"/>
    <w:rPr>
      <w:sz w:val="18"/>
      <w:szCs w:val="18"/>
    </w:rPr>
  </w:style>
  <w:style w:type="character" w:customStyle="1" w:styleId="61">
    <w:name w:val="标题 2 Char"/>
    <w:basedOn w:val="41"/>
    <w:qFormat/>
    <w:uiPriority w:val="9"/>
    <w:rPr>
      <w:rFonts w:asciiTheme="majorHAnsi" w:hAnsiTheme="majorHAnsi" w:eastAsiaTheme="majorEastAsia" w:cstheme="majorBidi"/>
      <w:b/>
      <w:bCs/>
      <w:sz w:val="32"/>
      <w:szCs w:val="32"/>
    </w:rPr>
  </w:style>
  <w:style w:type="character" w:customStyle="1" w:styleId="62">
    <w:name w:val="标题 3 Char"/>
    <w:basedOn w:val="41"/>
    <w:qFormat/>
    <w:uiPriority w:val="9"/>
    <w:rPr>
      <w:rFonts w:ascii="Times New Roman" w:hAnsi="Times New Roman" w:eastAsia="宋体" w:cs="Times New Roman"/>
      <w:b/>
      <w:bCs/>
      <w:sz w:val="32"/>
      <w:szCs w:val="32"/>
    </w:rPr>
  </w:style>
  <w:style w:type="character" w:customStyle="1" w:styleId="63">
    <w:name w:val="标题 4 Char"/>
    <w:basedOn w:val="41"/>
    <w:semiHidden/>
    <w:qFormat/>
    <w:uiPriority w:val="9"/>
    <w:rPr>
      <w:rFonts w:asciiTheme="majorHAnsi" w:hAnsiTheme="majorHAnsi" w:eastAsiaTheme="majorEastAsia" w:cstheme="majorBidi"/>
      <w:b/>
      <w:bCs/>
      <w:sz w:val="28"/>
      <w:szCs w:val="28"/>
    </w:rPr>
  </w:style>
  <w:style w:type="character" w:customStyle="1" w:styleId="64">
    <w:name w:val="标题 5 Char"/>
    <w:basedOn w:val="41"/>
    <w:semiHidden/>
    <w:qFormat/>
    <w:uiPriority w:val="9"/>
    <w:rPr>
      <w:rFonts w:ascii="Times New Roman" w:hAnsi="Times New Roman" w:eastAsia="宋体" w:cs="Times New Roman"/>
      <w:b/>
      <w:bCs/>
      <w:sz w:val="28"/>
      <w:szCs w:val="28"/>
    </w:rPr>
  </w:style>
  <w:style w:type="character" w:customStyle="1" w:styleId="65">
    <w:name w:val="标题 6 Char"/>
    <w:basedOn w:val="41"/>
    <w:semiHidden/>
    <w:qFormat/>
    <w:uiPriority w:val="9"/>
    <w:rPr>
      <w:rFonts w:asciiTheme="majorHAnsi" w:hAnsiTheme="majorHAnsi" w:eastAsiaTheme="majorEastAsia" w:cstheme="majorBidi"/>
      <w:b/>
      <w:bCs/>
      <w:sz w:val="24"/>
      <w:szCs w:val="24"/>
    </w:rPr>
  </w:style>
  <w:style w:type="character" w:customStyle="1" w:styleId="66">
    <w:name w:val="标题 7 Char"/>
    <w:basedOn w:val="41"/>
    <w:semiHidden/>
    <w:qFormat/>
    <w:uiPriority w:val="9"/>
    <w:rPr>
      <w:rFonts w:ascii="Times New Roman" w:hAnsi="Times New Roman" w:eastAsia="宋体" w:cs="Times New Roman"/>
      <w:b/>
      <w:bCs/>
      <w:sz w:val="24"/>
      <w:szCs w:val="24"/>
    </w:rPr>
  </w:style>
  <w:style w:type="character" w:customStyle="1" w:styleId="67">
    <w:name w:val="标题 8 Char"/>
    <w:basedOn w:val="41"/>
    <w:semiHidden/>
    <w:qFormat/>
    <w:uiPriority w:val="9"/>
    <w:rPr>
      <w:rFonts w:asciiTheme="majorHAnsi" w:hAnsiTheme="majorHAnsi" w:eastAsiaTheme="majorEastAsia" w:cstheme="majorBidi"/>
      <w:sz w:val="24"/>
      <w:szCs w:val="24"/>
    </w:rPr>
  </w:style>
  <w:style w:type="character" w:customStyle="1" w:styleId="68">
    <w:name w:val="标题 9 Char"/>
    <w:basedOn w:val="41"/>
    <w:semiHidden/>
    <w:qFormat/>
    <w:uiPriority w:val="9"/>
    <w:rPr>
      <w:rFonts w:asciiTheme="majorHAnsi" w:hAnsiTheme="majorHAnsi" w:eastAsiaTheme="majorEastAsia" w:cstheme="majorBidi"/>
      <w:szCs w:val="21"/>
    </w:rPr>
  </w:style>
  <w:style w:type="character" w:customStyle="1" w:styleId="69">
    <w:name w:val="批注文字 Char"/>
    <w:basedOn w:val="41"/>
    <w:link w:val="14"/>
    <w:qFormat/>
    <w:uiPriority w:val="99"/>
    <w:rPr>
      <w:rFonts w:ascii="Times New Roman" w:hAnsi="Times New Roman" w:eastAsia="宋体" w:cs="Times New Roman"/>
      <w:szCs w:val="24"/>
    </w:rPr>
  </w:style>
  <w:style w:type="character" w:customStyle="1" w:styleId="70">
    <w:name w:val="批注主题 Char"/>
    <w:basedOn w:val="69"/>
    <w:link w:val="36"/>
    <w:qFormat/>
    <w:uiPriority w:val="99"/>
    <w:rPr>
      <w:rFonts w:ascii="Times New Roman" w:hAnsi="Times New Roman" w:eastAsia="宋体" w:cs="Times New Roman"/>
      <w:b/>
      <w:bCs/>
      <w:szCs w:val="24"/>
    </w:rPr>
  </w:style>
  <w:style w:type="character" w:customStyle="1" w:styleId="71">
    <w:name w:val="文档结构图 Char"/>
    <w:basedOn w:val="41"/>
    <w:link w:val="13"/>
    <w:qFormat/>
    <w:uiPriority w:val="99"/>
    <w:rPr>
      <w:rFonts w:ascii="Times New Roman" w:hAnsi="Times New Roman" w:eastAsia="宋体" w:cs="Times New Roman"/>
      <w:szCs w:val="24"/>
      <w:shd w:val="clear" w:color="auto" w:fill="000080"/>
    </w:rPr>
  </w:style>
  <w:style w:type="character" w:customStyle="1" w:styleId="72">
    <w:name w:val="正文文本 Char2"/>
    <w:basedOn w:val="41"/>
    <w:link w:val="18"/>
    <w:qFormat/>
    <w:uiPriority w:val="0"/>
    <w:rPr>
      <w:rFonts w:ascii="Times New Roman" w:hAnsi="Times New Roman" w:eastAsia="宋体" w:cs="Times New Roman"/>
      <w:szCs w:val="24"/>
    </w:rPr>
  </w:style>
  <w:style w:type="character" w:customStyle="1" w:styleId="73">
    <w:name w:val="正文文本 Char"/>
    <w:basedOn w:val="41"/>
    <w:semiHidden/>
    <w:qFormat/>
    <w:uiPriority w:val="99"/>
    <w:rPr>
      <w:rFonts w:ascii="Times New Roman" w:hAnsi="Times New Roman" w:eastAsia="宋体" w:cs="Times New Roman"/>
      <w:szCs w:val="24"/>
    </w:rPr>
  </w:style>
  <w:style w:type="character" w:customStyle="1" w:styleId="74">
    <w:name w:val="正文文本缩进 Char"/>
    <w:basedOn w:val="41"/>
    <w:link w:val="19"/>
    <w:qFormat/>
    <w:uiPriority w:val="0"/>
    <w:rPr>
      <w:rFonts w:ascii="宋体" w:hAnsi="Times New Roman" w:eastAsia="宋体" w:cs="Times New Roman"/>
      <w:kern w:val="0"/>
      <w:sz w:val="24"/>
      <w:szCs w:val="20"/>
    </w:rPr>
  </w:style>
  <w:style w:type="character" w:customStyle="1" w:styleId="75">
    <w:name w:val="纯文本 Char"/>
    <w:basedOn w:val="41"/>
    <w:link w:val="22"/>
    <w:qFormat/>
    <w:uiPriority w:val="99"/>
    <w:rPr>
      <w:rFonts w:ascii="宋体" w:hAnsi="Courier New" w:eastAsia="宋体" w:cs="Times New Roman"/>
      <w:sz w:val="19"/>
      <w:szCs w:val="20"/>
    </w:rPr>
  </w:style>
  <w:style w:type="character" w:customStyle="1" w:styleId="76">
    <w:name w:val="日期 Char"/>
    <w:basedOn w:val="41"/>
    <w:link w:val="23"/>
    <w:qFormat/>
    <w:uiPriority w:val="99"/>
    <w:rPr>
      <w:rFonts w:ascii="宋体" w:hAnsi="Times New Roman" w:eastAsia="宋体" w:cs="Times New Roman"/>
      <w:kern w:val="0"/>
      <w:sz w:val="28"/>
      <w:szCs w:val="20"/>
    </w:rPr>
  </w:style>
  <w:style w:type="character" w:customStyle="1" w:styleId="77">
    <w:name w:val="正文文本缩进 2 Char1"/>
    <w:link w:val="24"/>
    <w:qFormat/>
    <w:uiPriority w:val="0"/>
    <w:rPr>
      <w:rFonts w:ascii="Times New Roman" w:hAnsi="Times New Roman" w:eastAsia="宋体" w:cs="Times New Roman"/>
      <w:sz w:val="28"/>
      <w:szCs w:val="20"/>
    </w:rPr>
  </w:style>
  <w:style w:type="character" w:customStyle="1" w:styleId="78">
    <w:name w:val="正文文本缩进 2 Char"/>
    <w:basedOn w:val="41"/>
    <w:semiHidden/>
    <w:qFormat/>
    <w:uiPriority w:val="99"/>
    <w:rPr>
      <w:rFonts w:ascii="Times New Roman" w:hAnsi="Times New Roman" w:eastAsia="宋体" w:cs="Times New Roman"/>
      <w:szCs w:val="24"/>
    </w:rPr>
  </w:style>
  <w:style w:type="character" w:customStyle="1" w:styleId="79">
    <w:name w:val="批注框文本 Char"/>
    <w:basedOn w:val="41"/>
    <w:link w:val="25"/>
    <w:qFormat/>
    <w:uiPriority w:val="99"/>
    <w:rPr>
      <w:rFonts w:ascii="Times New Roman" w:hAnsi="Times New Roman" w:eastAsia="宋体" w:cs="Times New Roman"/>
      <w:sz w:val="18"/>
      <w:szCs w:val="18"/>
    </w:rPr>
  </w:style>
  <w:style w:type="character" w:customStyle="1" w:styleId="80">
    <w:name w:val="正文首行缩进 2 Char1"/>
    <w:link w:val="38"/>
    <w:qFormat/>
    <w:uiPriority w:val="0"/>
    <w:rPr>
      <w:rFonts w:ascii="Times New Roman" w:hAnsi="Times New Roman" w:eastAsia="宋体" w:cs="Times New Roman"/>
      <w:sz w:val="24"/>
      <w:szCs w:val="20"/>
    </w:rPr>
  </w:style>
  <w:style w:type="character" w:customStyle="1" w:styleId="81">
    <w:name w:val="正文首行缩进 2 Char"/>
    <w:basedOn w:val="74"/>
    <w:semiHidden/>
    <w:qFormat/>
    <w:uiPriority w:val="99"/>
    <w:rPr>
      <w:rFonts w:ascii="宋体" w:hAnsi="Times New Roman" w:eastAsia="宋体" w:cs="Times New Roman"/>
      <w:kern w:val="0"/>
      <w:sz w:val="24"/>
      <w:szCs w:val="20"/>
    </w:rPr>
  </w:style>
  <w:style w:type="character" w:customStyle="1" w:styleId="82">
    <w:name w:val="脚注文本 Char"/>
    <w:basedOn w:val="41"/>
    <w:link w:val="29"/>
    <w:qFormat/>
    <w:uiPriority w:val="0"/>
    <w:rPr>
      <w:rFonts w:ascii="Times New Roman" w:hAnsi="Times New Roman" w:eastAsia="宋体" w:cs="Times New Roman"/>
      <w:sz w:val="18"/>
      <w:szCs w:val="18"/>
    </w:rPr>
  </w:style>
  <w:style w:type="character" w:customStyle="1" w:styleId="83">
    <w:name w:val="正文文本缩进 3 Char1"/>
    <w:link w:val="30"/>
    <w:qFormat/>
    <w:uiPriority w:val="0"/>
    <w:rPr>
      <w:rFonts w:ascii="Times New Roman" w:hAnsi="Times New Roman" w:eastAsia="宋体" w:cs="Times New Roman"/>
      <w:color w:val="FF0000"/>
      <w:sz w:val="24"/>
      <w:szCs w:val="24"/>
    </w:rPr>
  </w:style>
  <w:style w:type="character" w:customStyle="1" w:styleId="84">
    <w:name w:val="正文文本缩进 3 Char"/>
    <w:basedOn w:val="41"/>
    <w:semiHidden/>
    <w:qFormat/>
    <w:uiPriority w:val="99"/>
    <w:rPr>
      <w:rFonts w:ascii="Times New Roman" w:hAnsi="Times New Roman" w:eastAsia="宋体" w:cs="Times New Roman"/>
      <w:sz w:val="16"/>
      <w:szCs w:val="16"/>
    </w:rPr>
  </w:style>
  <w:style w:type="character" w:customStyle="1" w:styleId="85">
    <w:name w:val="ca-4"/>
    <w:basedOn w:val="41"/>
    <w:qFormat/>
    <w:uiPriority w:val="0"/>
  </w:style>
  <w:style w:type="character" w:customStyle="1" w:styleId="86">
    <w:name w:val="aa"/>
    <w:basedOn w:val="41"/>
    <w:qFormat/>
    <w:uiPriority w:val="0"/>
  </w:style>
  <w:style w:type="character" w:customStyle="1" w:styleId="87">
    <w:name w:val="ca-2"/>
    <w:basedOn w:val="41"/>
    <w:qFormat/>
    <w:uiPriority w:val="0"/>
  </w:style>
  <w:style w:type="character" w:customStyle="1" w:styleId="88">
    <w:name w:val="bu1"/>
    <w:qFormat/>
    <w:uiPriority w:val="0"/>
    <w:rPr>
      <w:sz w:val="26"/>
      <w:szCs w:val="26"/>
    </w:rPr>
  </w:style>
  <w:style w:type="paragraph" w:customStyle="1" w:styleId="89">
    <w:name w:val="xl24"/>
    <w:basedOn w:val="1"/>
    <w:qFormat/>
    <w:uiPriority w:val="0"/>
    <w:pPr>
      <w:spacing w:before="100" w:after="100"/>
      <w:jc w:val="center"/>
    </w:pPr>
    <w:rPr>
      <w:rFonts w:ascii="宋体" w:hAnsi="宋体"/>
      <w:kern w:val="0"/>
      <w:sz w:val="24"/>
      <w:szCs w:val="20"/>
    </w:rPr>
  </w:style>
  <w:style w:type="paragraph" w:customStyle="1" w:styleId="90">
    <w:name w:val="正文1"/>
    <w:basedOn w:val="1"/>
    <w:qFormat/>
    <w:uiPriority w:val="0"/>
    <w:pPr>
      <w:spacing w:line="480" w:lineRule="exact"/>
      <w:ind w:firstLine="480" w:firstLineChars="200"/>
    </w:pPr>
    <w:rPr>
      <w:rFonts w:ascii="宋体"/>
      <w:sz w:val="24"/>
      <w:szCs w:val="20"/>
    </w:rPr>
  </w:style>
  <w:style w:type="paragraph" w:customStyle="1" w:styleId="91">
    <w:name w:val="Header Base"/>
    <w:basedOn w:val="18"/>
    <w:qFormat/>
    <w:uiPriority w:val="0"/>
    <w:pPr>
      <w:keepLines/>
      <w:tabs>
        <w:tab w:val="center" w:pos="4320"/>
        <w:tab w:val="right" w:pos="8640"/>
      </w:tabs>
      <w:suppressAutoHyphens/>
      <w:spacing w:after="0" w:line="180" w:lineRule="atLeast"/>
    </w:pPr>
    <w:rPr>
      <w:rFonts w:ascii="Arial" w:hAnsi="Arial" w:eastAsia="微软简楷体"/>
      <w:spacing w:val="-5"/>
      <w:kern w:val="0"/>
      <w:sz w:val="24"/>
      <w:szCs w:val="20"/>
    </w:rPr>
  </w:style>
  <w:style w:type="paragraph" w:customStyle="1" w:styleId="92">
    <w:name w:val="列出段落2"/>
    <w:basedOn w:val="1"/>
    <w:qFormat/>
    <w:uiPriority w:val="0"/>
    <w:pPr>
      <w:ind w:firstLine="420" w:firstLineChars="200"/>
    </w:pPr>
  </w:style>
  <w:style w:type="paragraph" w:customStyle="1" w:styleId="93">
    <w:name w:val="列出段落3"/>
    <w:basedOn w:val="1"/>
    <w:unhideWhenUsed/>
    <w:qFormat/>
    <w:uiPriority w:val="99"/>
    <w:pPr>
      <w:ind w:firstLine="420" w:firstLineChars="200"/>
    </w:pPr>
  </w:style>
  <w:style w:type="paragraph" w:customStyle="1" w:styleId="94">
    <w:name w:val="Char"/>
    <w:basedOn w:val="1"/>
    <w:qFormat/>
    <w:uiPriority w:val="0"/>
  </w:style>
  <w:style w:type="paragraph" w:customStyle="1" w:styleId="95">
    <w:name w:val="列出段落1"/>
    <w:basedOn w:val="1"/>
    <w:qFormat/>
    <w:uiPriority w:val="99"/>
    <w:pPr>
      <w:ind w:firstLine="420" w:firstLineChars="200"/>
    </w:pPr>
  </w:style>
  <w:style w:type="paragraph" w:customStyle="1" w:styleId="96">
    <w:name w:val="样式1"/>
    <w:basedOn w:val="1"/>
    <w:qFormat/>
    <w:uiPriority w:val="0"/>
    <w:pPr>
      <w:tabs>
        <w:tab w:val="left" w:pos="753"/>
      </w:tabs>
    </w:pPr>
    <w:rPr>
      <w:rFonts w:ascii="宋体" w:hAnsi="宋体"/>
      <w:szCs w:val="21"/>
    </w:rPr>
  </w:style>
  <w:style w:type="paragraph" w:customStyle="1" w:styleId="97">
    <w:name w:val="普通 (Web)"/>
    <w:basedOn w:val="1"/>
    <w:qFormat/>
    <w:uiPriority w:val="0"/>
    <w:pPr>
      <w:suppressAutoHyphens/>
      <w:spacing w:before="100" w:after="100"/>
    </w:pPr>
    <w:rPr>
      <w:rFonts w:ascii="Arial Unicode MS" w:hAnsi="Arial Unicode MS" w:eastAsia="Arial Unicode MS" w:cs="Courier New"/>
      <w:color w:val="000000"/>
      <w:kern w:val="1"/>
      <w:sz w:val="24"/>
      <w:szCs w:val="20"/>
      <w:lang w:eastAsia="ar-SA"/>
    </w:rPr>
  </w:style>
  <w:style w:type="paragraph" w:customStyle="1" w:styleId="98">
    <w:name w:val="Char1"/>
    <w:basedOn w:val="1"/>
    <w:qFormat/>
    <w:uiPriority w:val="0"/>
  </w:style>
  <w:style w:type="paragraph" w:customStyle="1" w:styleId="99">
    <w:name w:val="TOC 标题1"/>
    <w:basedOn w:val="2"/>
    <w:next w:val="1"/>
    <w:qFormat/>
    <w:uiPriority w:val="39"/>
    <w:pPr>
      <w:spacing w:before="480" w:line="276" w:lineRule="auto"/>
      <w:jc w:val="left"/>
      <w:outlineLvl w:val="9"/>
    </w:pPr>
    <w:rPr>
      <w:rFonts w:ascii="Cambria" w:hAnsi="Cambria" w:eastAsia="宋体"/>
      <w:color w:val="365F91"/>
      <w:kern w:val="0"/>
      <w:sz w:val="28"/>
      <w:szCs w:val="28"/>
    </w:rPr>
  </w:style>
  <w:style w:type="paragraph" w:customStyle="1" w:styleId="100">
    <w:name w:val="_Style 1"/>
    <w:basedOn w:val="1"/>
    <w:qFormat/>
    <w:uiPriority w:val="34"/>
    <w:pPr>
      <w:ind w:firstLine="420" w:firstLineChars="200"/>
    </w:pPr>
  </w:style>
  <w:style w:type="paragraph" w:customStyle="1" w:styleId="101">
    <w:name w:val="列出段落4"/>
    <w:basedOn w:val="1"/>
    <w:link w:val="102"/>
    <w:unhideWhenUsed/>
    <w:qFormat/>
    <w:uiPriority w:val="34"/>
    <w:pPr>
      <w:ind w:firstLine="420" w:firstLineChars="200"/>
    </w:pPr>
  </w:style>
  <w:style w:type="character" w:customStyle="1" w:styleId="102">
    <w:name w:val="列出段落 Char"/>
    <w:link w:val="101"/>
    <w:qFormat/>
    <w:uiPriority w:val="34"/>
    <w:rPr>
      <w:rFonts w:ascii="Times New Roman" w:hAnsi="Times New Roman" w:eastAsia="宋体" w:cs="Times New Roman"/>
      <w:szCs w:val="24"/>
    </w:rPr>
  </w:style>
  <w:style w:type="character" w:customStyle="1" w:styleId="103">
    <w:name w:val="标题 1 字符"/>
    <w:qFormat/>
    <w:uiPriority w:val="9"/>
    <w:rPr>
      <w:rFonts w:eastAsia="黑体"/>
      <w:bCs/>
      <w:kern w:val="44"/>
      <w:sz w:val="32"/>
      <w:szCs w:val="44"/>
    </w:rPr>
  </w:style>
  <w:style w:type="character" w:customStyle="1" w:styleId="104">
    <w:name w:val="页眉 字符"/>
    <w:qFormat/>
    <w:uiPriority w:val="99"/>
    <w:rPr>
      <w:sz w:val="18"/>
      <w:szCs w:val="18"/>
    </w:rPr>
  </w:style>
  <w:style w:type="character" w:customStyle="1" w:styleId="105">
    <w:name w:val="页脚 字符"/>
    <w:qFormat/>
    <w:uiPriority w:val="99"/>
    <w:rPr>
      <w:sz w:val="18"/>
      <w:szCs w:val="18"/>
    </w:rPr>
  </w:style>
  <w:style w:type="character" w:customStyle="1" w:styleId="106">
    <w:name w:val="批注文字 字符"/>
    <w:basedOn w:val="41"/>
    <w:qFormat/>
    <w:uiPriority w:val="99"/>
  </w:style>
  <w:style w:type="paragraph" w:customStyle="1" w:styleId="107">
    <w:name w:val="Char Char Char1 Char"/>
    <w:basedOn w:val="1"/>
    <w:qFormat/>
    <w:uiPriority w:val="0"/>
    <w:rPr>
      <w:rFonts w:ascii="Tahoma" w:hAnsi="Tahoma"/>
      <w:sz w:val="24"/>
      <w:szCs w:val="20"/>
    </w:rPr>
  </w:style>
  <w:style w:type="paragraph" w:customStyle="1" w:styleId="108">
    <w:name w:val="font5"/>
    <w:basedOn w:val="1"/>
    <w:qFormat/>
    <w:uiPriority w:val="0"/>
    <w:pPr>
      <w:spacing w:before="100" w:beforeAutospacing="1" w:after="100" w:afterAutospacing="1"/>
    </w:pPr>
    <w:rPr>
      <w:rFonts w:ascii="宋体" w:hAnsi="宋体" w:cs="宋体"/>
      <w:kern w:val="0"/>
      <w:sz w:val="18"/>
      <w:szCs w:val="18"/>
    </w:rPr>
  </w:style>
  <w:style w:type="paragraph" w:customStyle="1" w:styleId="109">
    <w:name w:val="font6"/>
    <w:basedOn w:val="1"/>
    <w:qFormat/>
    <w:uiPriority w:val="0"/>
    <w:pPr>
      <w:spacing w:before="100" w:beforeAutospacing="1" w:after="100" w:afterAutospacing="1"/>
    </w:pPr>
    <w:rPr>
      <w:rFonts w:ascii="宋体" w:hAnsi="宋体" w:cs="宋体"/>
      <w:kern w:val="0"/>
      <w:sz w:val="20"/>
      <w:szCs w:val="20"/>
    </w:rPr>
  </w:style>
  <w:style w:type="paragraph" w:customStyle="1" w:styleId="110">
    <w:name w:val="font8"/>
    <w:basedOn w:val="1"/>
    <w:qFormat/>
    <w:uiPriority w:val="0"/>
    <w:pPr>
      <w:spacing w:before="100" w:beforeAutospacing="1" w:after="100" w:afterAutospacing="1"/>
    </w:pPr>
    <w:rPr>
      <w:kern w:val="0"/>
      <w:sz w:val="36"/>
      <w:szCs w:val="36"/>
    </w:rPr>
  </w:style>
  <w:style w:type="paragraph" w:customStyle="1" w:styleId="111">
    <w:name w:val="xl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12">
    <w:name w:val="xl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13">
    <w:name w:val="font7"/>
    <w:basedOn w:val="1"/>
    <w:qFormat/>
    <w:uiPriority w:val="0"/>
    <w:pPr>
      <w:spacing w:before="100" w:beforeAutospacing="1" w:after="100" w:afterAutospacing="1"/>
    </w:pPr>
    <w:rPr>
      <w:rFonts w:eastAsia="Arial Unicode MS"/>
      <w:b/>
      <w:bCs/>
      <w:color w:val="000000"/>
      <w:kern w:val="0"/>
      <w:sz w:val="20"/>
      <w:szCs w:val="20"/>
    </w:rPr>
  </w:style>
  <w:style w:type="paragraph" w:customStyle="1" w:styleId="114">
    <w:name w:val="font9"/>
    <w:basedOn w:val="1"/>
    <w:qFormat/>
    <w:uiPriority w:val="0"/>
    <w:pPr>
      <w:spacing w:before="100" w:beforeAutospacing="1" w:after="100" w:afterAutospacing="1"/>
    </w:pPr>
    <w:rPr>
      <w:rFonts w:hint="eastAsia" w:ascii="宋体" w:hAnsi="宋体" w:cs="Arial Unicode MS"/>
      <w:color w:val="000000"/>
      <w:kern w:val="0"/>
      <w:sz w:val="20"/>
      <w:szCs w:val="20"/>
    </w:rPr>
  </w:style>
  <w:style w:type="paragraph" w:customStyle="1" w:styleId="115">
    <w:name w:val="xl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16">
    <w:name w:val="xl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17">
    <w:name w:val="xl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18">
    <w:name w:val="xl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19">
    <w:name w:val="xl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color w:val="000000"/>
      <w:kern w:val="0"/>
      <w:sz w:val="20"/>
      <w:szCs w:val="20"/>
    </w:rPr>
  </w:style>
  <w:style w:type="paragraph" w:customStyle="1" w:styleId="120">
    <w:name w:val="xl3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21">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22">
    <w:name w:val="xl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eastAsia="Arial Unicode MS"/>
      <w:color w:val="000000"/>
      <w:kern w:val="0"/>
      <w:sz w:val="20"/>
      <w:szCs w:val="20"/>
    </w:rPr>
  </w:style>
  <w:style w:type="paragraph" w:customStyle="1" w:styleId="123">
    <w:name w:val="xl35"/>
    <w:basedOn w:val="1"/>
    <w:qFormat/>
    <w:uiPriority w:val="0"/>
    <w:pPr>
      <w:spacing w:before="100" w:beforeAutospacing="1" w:after="100" w:afterAutospacing="1"/>
    </w:pPr>
    <w:rPr>
      <w:rFonts w:ascii="Arial Unicode MS" w:hAnsi="Arial Unicode MS" w:eastAsia="Arial Unicode MS" w:cs="Arial Unicode MS"/>
      <w:color w:val="000000"/>
      <w:kern w:val="0"/>
      <w:sz w:val="20"/>
      <w:szCs w:val="20"/>
    </w:rPr>
  </w:style>
  <w:style w:type="paragraph" w:customStyle="1" w:styleId="124">
    <w:name w:val="xl36"/>
    <w:basedOn w:val="1"/>
    <w:qFormat/>
    <w:uiPriority w:val="0"/>
    <w:pP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5">
    <w:name w:val="xl37"/>
    <w:basedOn w:val="1"/>
    <w:qFormat/>
    <w:uiPriority w:val="0"/>
    <w:pPr>
      <w:spacing w:before="100" w:beforeAutospacing="1" w:after="100" w:afterAutospacing="1"/>
    </w:pPr>
    <w:rPr>
      <w:rFonts w:ascii="Arial Unicode MS" w:hAnsi="Arial Unicode MS" w:eastAsia="Arial Unicode MS" w:cs="Arial Unicode MS"/>
      <w:color w:val="000000"/>
      <w:kern w:val="0"/>
      <w:sz w:val="20"/>
      <w:szCs w:val="20"/>
    </w:rPr>
  </w:style>
  <w:style w:type="paragraph" w:customStyle="1" w:styleId="126">
    <w:name w:val="xl3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color w:val="000000"/>
      <w:kern w:val="0"/>
      <w:sz w:val="16"/>
      <w:szCs w:val="16"/>
    </w:rPr>
  </w:style>
  <w:style w:type="paragraph" w:customStyle="1" w:styleId="127">
    <w:name w:val="xl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8">
    <w:name w:val="xl4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color w:val="000000"/>
      <w:kern w:val="0"/>
      <w:sz w:val="20"/>
      <w:szCs w:val="20"/>
    </w:rPr>
  </w:style>
  <w:style w:type="paragraph" w:customStyle="1" w:styleId="129">
    <w:name w:val="xl41"/>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0">
    <w:name w:val="xl4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31">
    <w:name w:val="xl43"/>
    <w:basedOn w:val="1"/>
    <w:qFormat/>
    <w:uiPriority w:val="0"/>
    <w:pPr>
      <w:pBdr>
        <w:top w:val="single" w:color="auto" w:sz="4" w:space="0"/>
        <w:left w:val="single" w:color="auto" w:sz="4" w:space="0"/>
        <w:bottom w:val="single" w:color="auto" w:sz="4" w:space="0"/>
      </w:pBdr>
      <w:spacing w:before="100" w:beforeAutospacing="1" w:after="100" w:afterAutospacing="1"/>
    </w:pPr>
    <w:rPr>
      <w:rFonts w:ascii="Arial Unicode MS" w:hAnsi="Arial Unicode MS" w:eastAsia="Arial Unicode MS" w:cs="Arial Unicode MS"/>
      <w:color w:val="000000"/>
      <w:kern w:val="0"/>
      <w:sz w:val="20"/>
      <w:szCs w:val="20"/>
    </w:rPr>
  </w:style>
  <w:style w:type="paragraph" w:customStyle="1" w:styleId="132">
    <w:name w:val="xl44"/>
    <w:basedOn w:val="1"/>
    <w:qFormat/>
    <w:uiPriority w:val="0"/>
    <w:pPr>
      <w:pBdr>
        <w:top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kern w:val="0"/>
      <w:sz w:val="24"/>
    </w:rPr>
  </w:style>
  <w:style w:type="paragraph" w:customStyle="1" w:styleId="133">
    <w:name w:val="xl45"/>
    <w:basedOn w:val="1"/>
    <w:qFormat/>
    <w:uiPriority w:val="0"/>
    <w:pPr>
      <w:pBdr>
        <w:top w:val="single" w:color="auto" w:sz="4" w:space="0"/>
        <w:left w:val="single" w:color="auto" w:sz="4" w:space="0"/>
        <w:bottom w:val="single" w:color="auto" w:sz="4" w:space="0"/>
      </w:pBdr>
      <w:spacing w:before="100" w:beforeAutospacing="1" w:after="100" w:afterAutospacing="1"/>
    </w:pPr>
    <w:rPr>
      <w:rFonts w:ascii="Arial Unicode MS" w:hAnsi="Arial Unicode MS" w:eastAsia="Arial Unicode MS" w:cs="Arial Unicode MS"/>
      <w:b/>
      <w:bCs/>
      <w:color w:val="000000"/>
      <w:kern w:val="0"/>
      <w:sz w:val="20"/>
      <w:szCs w:val="20"/>
    </w:rPr>
  </w:style>
  <w:style w:type="paragraph" w:customStyle="1" w:styleId="134">
    <w:name w:val="xl46"/>
    <w:basedOn w:val="1"/>
    <w:qFormat/>
    <w:uiPriority w:val="0"/>
    <w:pPr>
      <w:pBdr>
        <w:top w:val="single" w:color="auto" w:sz="4" w:space="0"/>
        <w:bottom w:val="single" w:color="auto" w:sz="4" w:space="0"/>
      </w:pBdr>
      <w:spacing w:before="100" w:beforeAutospacing="1" w:after="100" w:afterAutospacing="1"/>
    </w:pPr>
    <w:rPr>
      <w:rFonts w:ascii="Arial Unicode MS" w:hAnsi="Arial Unicode MS" w:eastAsia="Arial Unicode MS" w:cs="Arial Unicode MS"/>
      <w:b/>
      <w:bCs/>
      <w:color w:val="000000"/>
      <w:kern w:val="0"/>
      <w:sz w:val="20"/>
      <w:szCs w:val="20"/>
    </w:rPr>
  </w:style>
  <w:style w:type="paragraph" w:customStyle="1" w:styleId="135">
    <w:name w:val="xl47"/>
    <w:basedOn w:val="1"/>
    <w:qFormat/>
    <w:uiPriority w:val="0"/>
    <w:pPr>
      <w:pBdr>
        <w:top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b/>
      <w:bCs/>
      <w:color w:val="000000"/>
      <w:kern w:val="0"/>
      <w:sz w:val="20"/>
      <w:szCs w:val="20"/>
    </w:rPr>
  </w:style>
  <w:style w:type="paragraph" w:customStyle="1" w:styleId="136">
    <w:name w:val="xl4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37">
    <w:name w:val="xl4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color w:val="000000"/>
      <w:kern w:val="0"/>
      <w:sz w:val="22"/>
      <w:szCs w:val="22"/>
    </w:rPr>
  </w:style>
  <w:style w:type="paragraph" w:customStyle="1" w:styleId="138">
    <w:name w:val="xl5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39">
    <w:name w:val="xl5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40">
    <w:name w:val="xl5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41">
    <w:name w:val="xl5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character" w:customStyle="1" w:styleId="142">
    <w:name w:val="正文文本 Char1"/>
    <w:qFormat/>
    <w:uiPriority w:val="0"/>
    <w:rPr>
      <w:color w:val="FF0000"/>
      <w:kern w:val="2"/>
      <w:sz w:val="21"/>
    </w:rPr>
  </w:style>
  <w:style w:type="paragraph" w:customStyle="1" w:styleId="143">
    <w:name w:val="正文 + 宋体"/>
    <w:basedOn w:val="1"/>
    <w:qFormat/>
    <w:uiPriority w:val="0"/>
    <w:pPr>
      <w:ind w:left="360" w:hanging="360"/>
    </w:pPr>
    <w:rPr>
      <w:rFonts w:ascii="宋体" w:hAnsi="宋体" w:cs="宋体"/>
      <w:b/>
      <w:bCs/>
      <w:color w:val="000000"/>
      <w:kern w:val="0"/>
      <w:sz w:val="18"/>
      <w:szCs w:val="18"/>
    </w:rPr>
  </w:style>
  <w:style w:type="paragraph" w:customStyle="1" w:styleId="144">
    <w:name w:val="样式 标题 22nd levelh22Header 2l2第一章 标题 2Heading 2 HiddenHea..."/>
    <w:basedOn w:val="3"/>
    <w:qFormat/>
    <w:uiPriority w:val="0"/>
    <w:pPr>
      <w:tabs>
        <w:tab w:val="left" w:pos="992"/>
      </w:tabs>
      <w:adjustRightInd/>
      <w:snapToGrid/>
      <w:spacing w:before="260" w:after="260"/>
      <w:ind w:left="992" w:hanging="567"/>
      <w:jc w:val="both"/>
    </w:pPr>
    <w:rPr>
      <w:rFonts w:eastAsia="黑体" w:cs="宋体"/>
      <w:szCs w:val="24"/>
    </w:rPr>
  </w:style>
  <w:style w:type="paragraph" w:customStyle="1" w:styleId="145">
    <w:name w:val="样式 标题 22nd levelh22Header 2l2第一章 标题 2Heading 2 HiddenHea...1"/>
    <w:basedOn w:val="3"/>
    <w:qFormat/>
    <w:uiPriority w:val="0"/>
    <w:pPr>
      <w:tabs>
        <w:tab w:val="left" w:pos="992"/>
      </w:tabs>
      <w:adjustRightInd/>
      <w:snapToGrid/>
      <w:spacing w:before="260" w:after="260"/>
      <w:ind w:left="992" w:hanging="567"/>
      <w:jc w:val="both"/>
    </w:pPr>
    <w:rPr>
      <w:rFonts w:eastAsia="黑体" w:cs="宋体"/>
      <w:sz w:val="28"/>
      <w:szCs w:val="20"/>
    </w:rPr>
  </w:style>
  <w:style w:type="paragraph" w:customStyle="1" w:styleId="146">
    <w:name w:val="样式 标题 2H2UNDERRUBRIK 1-2Underrubrik1prop2Heading 2 HiddenH..."/>
    <w:basedOn w:val="3"/>
    <w:qFormat/>
    <w:uiPriority w:val="0"/>
    <w:pPr>
      <w:keepLines w:val="0"/>
      <w:tabs>
        <w:tab w:val="left" w:pos="992"/>
      </w:tabs>
      <w:adjustRightInd/>
      <w:snapToGrid/>
      <w:spacing w:before="240" w:after="240"/>
      <w:ind w:left="992" w:hanging="567"/>
      <w:jc w:val="both"/>
    </w:pPr>
    <w:rPr>
      <w:rFonts w:eastAsia="黑体"/>
      <w:b w:val="0"/>
      <w:bCs w:val="0"/>
      <w:sz w:val="30"/>
      <w:szCs w:val="24"/>
    </w:rPr>
  </w:style>
  <w:style w:type="paragraph" w:customStyle="1" w:styleId="147">
    <w:name w:val="Table Text"/>
    <w:qFormat/>
    <w:uiPriority w:val="0"/>
    <w:pPr>
      <w:snapToGrid w:val="0"/>
      <w:spacing w:before="80" w:after="80"/>
    </w:pPr>
    <w:rPr>
      <w:rFonts w:ascii="Arial" w:hAnsi="Arial" w:eastAsia="宋体" w:cs="Arial"/>
      <w:kern w:val="2"/>
      <w:sz w:val="18"/>
      <w:szCs w:val="18"/>
      <w:lang w:val="en-US" w:eastAsia="zh-CN" w:bidi="ar-SA"/>
    </w:rPr>
  </w:style>
  <w:style w:type="character" w:customStyle="1" w:styleId="148">
    <w:name w:val="Table Text Char1"/>
    <w:qFormat/>
    <w:uiPriority w:val="0"/>
    <w:rPr>
      <w:rFonts w:ascii="Arial" w:hAnsi="Arial" w:eastAsia="宋体" w:cs="Arial"/>
      <w:kern w:val="2"/>
      <w:sz w:val="18"/>
      <w:szCs w:val="18"/>
      <w:lang w:val="en-US" w:eastAsia="zh-CN" w:bidi="ar-SA"/>
    </w:rPr>
  </w:style>
  <w:style w:type="paragraph" w:customStyle="1" w:styleId="149">
    <w:name w:val="Table Text Char Char"/>
    <w:qFormat/>
    <w:uiPriority w:val="0"/>
    <w:pPr>
      <w:snapToGrid w:val="0"/>
      <w:spacing w:before="80" w:after="80"/>
    </w:pPr>
    <w:rPr>
      <w:rFonts w:ascii="Arial" w:hAnsi="Arial" w:eastAsia="宋体" w:cs="Arial"/>
      <w:kern w:val="2"/>
      <w:sz w:val="18"/>
      <w:szCs w:val="21"/>
      <w:lang w:val="en-US" w:eastAsia="zh-CN" w:bidi="ar-SA"/>
    </w:rPr>
  </w:style>
  <w:style w:type="character" w:customStyle="1" w:styleId="150">
    <w:name w:val="Table Text Char Char Char"/>
    <w:qFormat/>
    <w:uiPriority w:val="0"/>
    <w:rPr>
      <w:rFonts w:ascii="Arial" w:hAnsi="Arial" w:eastAsia="宋体" w:cs="Arial"/>
      <w:kern w:val="2"/>
      <w:sz w:val="18"/>
      <w:szCs w:val="21"/>
      <w:lang w:val="en-US" w:eastAsia="zh-CN" w:bidi="ar-SA"/>
    </w:rPr>
  </w:style>
  <w:style w:type="paragraph" w:customStyle="1" w:styleId="151">
    <w:name w:val="Table Description"/>
    <w:next w:val="1"/>
    <w:qFormat/>
    <w:uiPriority w:val="0"/>
    <w:pPr>
      <w:keepNext/>
      <w:snapToGrid w:val="0"/>
      <w:spacing w:before="160" w:after="80"/>
      <w:ind w:left="1134"/>
      <w:jc w:val="center"/>
    </w:pPr>
    <w:rPr>
      <w:rFonts w:ascii="Arial" w:hAnsi="Arial" w:eastAsia="黑体" w:cs="Arial"/>
      <w:kern w:val="2"/>
      <w:sz w:val="18"/>
      <w:szCs w:val="18"/>
      <w:lang w:val="en-US" w:eastAsia="zh-CN" w:bidi="ar-SA"/>
    </w:rPr>
  </w:style>
  <w:style w:type="paragraph" w:customStyle="1" w:styleId="152">
    <w:name w:val="Figure Description"/>
    <w:next w:val="1"/>
    <w:qFormat/>
    <w:uiPriority w:val="0"/>
    <w:pPr>
      <w:snapToGrid w:val="0"/>
      <w:spacing w:before="80" w:after="320"/>
      <w:ind w:left="1134"/>
      <w:jc w:val="center"/>
    </w:pPr>
    <w:rPr>
      <w:rFonts w:ascii="Arial" w:hAnsi="Arial" w:eastAsia="黑体" w:cs="Arial"/>
      <w:sz w:val="18"/>
      <w:szCs w:val="18"/>
      <w:lang w:val="en-US" w:eastAsia="zh-CN" w:bidi="ar-SA"/>
    </w:rPr>
  </w:style>
  <w:style w:type="paragraph" w:customStyle="1" w:styleId="153">
    <w:name w:val="Item List"/>
    <w:qFormat/>
    <w:uiPriority w:val="0"/>
    <w:pPr>
      <w:tabs>
        <w:tab w:val="left" w:pos="870"/>
      </w:tabs>
      <w:spacing w:line="300" w:lineRule="auto"/>
      <w:ind w:left="870" w:hanging="510"/>
      <w:jc w:val="both"/>
    </w:pPr>
    <w:rPr>
      <w:rFonts w:ascii="Arial" w:hAnsi="Arial" w:eastAsia="宋体" w:cs="Arial"/>
      <w:kern w:val="2"/>
      <w:sz w:val="21"/>
      <w:szCs w:val="21"/>
      <w:lang w:val="en-US" w:eastAsia="zh-CN" w:bidi="ar-SA"/>
    </w:rPr>
  </w:style>
  <w:style w:type="paragraph" w:customStyle="1" w:styleId="154">
    <w:name w:val="Table Text Char"/>
    <w:qFormat/>
    <w:uiPriority w:val="0"/>
    <w:pPr>
      <w:snapToGrid w:val="0"/>
      <w:spacing w:before="80" w:after="80"/>
    </w:pPr>
    <w:rPr>
      <w:rFonts w:ascii="Arial" w:hAnsi="Arial" w:eastAsia="宋体" w:cs="Arial"/>
      <w:sz w:val="18"/>
      <w:szCs w:val="18"/>
      <w:lang w:val="en-US" w:eastAsia="zh-CN" w:bidi="ar-SA"/>
    </w:rPr>
  </w:style>
  <w:style w:type="paragraph" w:customStyle="1" w:styleId="155">
    <w:name w:val="默认段落字体 Para Char Char Char Char Char Char Char Char Char1"/>
    <w:basedOn w:val="1"/>
    <w:qFormat/>
    <w:uiPriority w:val="0"/>
    <w:rPr>
      <w:rFonts w:ascii="Tahoma" w:hAnsi="Tahoma"/>
      <w:sz w:val="24"/>
      <w:szCs w:val="20"/>
    </w:rPr>
  </w:style>
  <w:style w:type="paragraph" w:customStyle="1" w:styleId="156">
    <w:name w:val="Item Step in Table"/>
    <w:qFormat/>
    <w:uiPriority w:val="0"/>
    <w:pPr>
      <w:tabs>
        <w:tab w:val="left" w:pos="397"/>
      </w:tabs>
      <w:spacing w:before="40" w:after="40"/>
      <w:ind w:left="397" w:hanging="397"/>
      <w:jc w:val="both"/>
    </w:pPr>
    <w:rPr>
      <w:rFonts w:ascii="Arial" w:hAnsi="Arial" w:eastAsia="宋体" w:cs="Times New Roman"/>
      <w:sz w:val="18"/>
      <w:lang w:val="en-US" w:eastAsia="zh-CN" w:bidi="ar-SA"/>
    </w:rPr>
  </w:style>
  <w:style w:type="paragraph" w:customStyle="1" w:styleId="157">
    <w:name w:val="Char Char Char"/>
    <w:basedOn w:val="1"/>
    <w:qFormat/>
    <w:uiPriority w:val="0"/>
    <w:rPr>
      <w:rFonts w:ascii="Tahoma" w:hAnsi="Tahoma"/>
      <w:sz w:val="24"/>
      <w:szCs w:val="20"/>
    </w:rPr>
  </w:style>
  <w:style w:type="paragraph" w:customStyle="1" w:styleId="158">
    <w:name w:val="样式 标题 1 + 四号 居中 段前: 12 磅 段后: 12 磅 行距: 单倍行距"/>
    <w:basedOn w:val="2"/>
    <w:qFormat/>
    <w:uiPriority w:val="0"/>
    <w:pPr>
      <w:tabs>
        <w:tab w:val="left" w:pos="425"/>
      </w:tabs>
      <w:snapToGrid/>
      <w:spacing w:before="240" w:after="240" w:line="240" w:lineRule="auto"/>
      <w:ind w:left="425" w:hanging="425"/>
      <w:textAlignment w:val="baseline"/>
    </w:pPr>
    <w:rPr>
      <w:rFonts w:eastAsia="宋体"/>
      <w:bCs w:val="0"/>
      <w:sz w:val="28"/>
      <w:szCs w:val="20"/>
    </w:rPr>
  </w:style>
  <w:style w:type="paragraph" w:customStyle="1" w:styleId="159">
    <w:name w:val="Char1 Char Char Char Char Char Char"/>
    <w:basedOn w:val="1"/>
    <w:qFormat/>
    <w:uiPriority w:val="0"/>
    <w:rPr>
      <w:rFonts w:ascii="Tahoma" w:hAnsi="Tahoma"/>
      <w:sz w:val="24"/>
      <w:szCs w:val="20"/>
    </w:rPr>
  </w:style>
  <w:style w:type="paragraph" w:customStyle="1" w:styleId="16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1">
    <w:name w:val="Char Char Char Char1"/>
    <w:basedOn w:val="1"/>
    <w:qFormat/>
    <w:uiPriority w:val="0"/>
    <w:pPr>
      <w:tabs>
        <w:tab w:val="left" w:pos="360"/>
      </w:tabs>
      <w:ind w:firstLine="420" w:firstLineChars="150"/>
    </w:pPr>
    <w:rPr>
      <w:rFonts w:ascii="Arial" w:hAnsi="Arial" w:cs="Arial"/>
      <w:sz w:val="20"/>
      <w:szCs w:val="20"/>
    </w:rPr>
  </w:style>
  <w:style w:type="paragraph" w:customStyle="1" w:styleId="162">
    <w:name w:val="样式 宋体 五号 两端对齐 行距: 单倍行距"/>
    <w:basedOn w:val="1"/>
    <w:qFormat/>
    <w:uiPriority w:val="0"/>
    <w:pPr>
      <w:adjustRightInd w:val="0"/>
      <w:textAlignment w:val="baseline"/>
    </w:pPr>
    <w:rPr>
      <w:rFonts w:ascii="宋体" w:hAnsi="宋体"/>
      <w:kern w:val="0"/>
      <w:szCs w:val="20"/>
    </w:rPr>
  </w:style>
  <w:style w:type="paragraph" w:customStyle="1" w:styleId="163">
    <w:name w:val="表格文字"/>
    <w:basedOn w:val="1"/>
    <w:qFormat/>
    <w:uiPriority w:val="0"/>
    <w:pPr>
      <w:spacing w:beforeLines="5" w:afterLines="5" w:line="200" w:lineRule="atLeast"/>
      <w:ind w:left="10" w:leftChars="10"/>
    </w:pPr>
    <w:rPr>
      <w:rFonts w:ascii="宋体" w:hAnsi="宋体"/>
      <w:color w:val="000000"/>
      <w:sz w:val="20"/>
      <w:szCs w:val="20"/>
    </w:rPr>
  </w:style>
  <w:style w:type="paragraph" w:customStyle="1" w:styleId="164">
    <w:name w:val="缺省文本"/>
    <w:basedOn w:val="1"/>
    <w:qFormat/>
    <w:uiPriority w:val="0"/>
    <w:pPr>
      <w:autoSpaceDE w:val="0"/>
      <w:autoSpaceDN w:val="0"/>
      <w:adjustRightInd w:val="0"/>
    </w:pPr>
    <w:rPr>
      <w:kern w:val="0"/>
      <w:sz w:val="24"/>
    </w:rPr>
  </w:style>
  <w:style w:type="paragraph" w:customStyle="1" w:styleId="165">
    <w:name w:val="缩进项目"/>
    <w:basedOn w:val="1"/>
    <w:qFormat/>
    <w:uiPriority w:val="0"/>
    <w:pPr>
      <w:tabs>
        <w:tab w:val="left" w:pos="425"/>
        <w:tab w:val="left" w:pos="1924"/>
      </w:tabs>
      <w:spacing w:line="400" w:lineRule="exact"/>
      <w:ind w:left="1924" w:hanging="425"/>
      <w:outlineLvl w:val="0"/>
    </w:pPr>
    <w:rPr>
      <w:rFonts w:ascii="宋体"/>
      <w:color w:val="0000FF"/>
      <w:kern w:val="0"/>
      <w:sz w:val="24"/>
      <w:szCs w:val="20"/>
    </w:rPr>
  </w:style>
  <w:style w:type="paragraph" w:customStyle="1" w:styleId="166">
    <w:name w:val="一级条标题"/>
    <w:basedOn w:val="167"/>
    <w:next w:val="168"/>
    <w:qFormat/>
    <w:uiPriority w:val="0"/>
    <w:pPr>
      <w:tabs>
        <w:tab w:val="left" w:pos="486"/>
        <w:tab w:val="left" w:pos="992"/>
      </w:tabs>
      <w:spacing w:before="0" w:after="0" w:line="240" w:lineRule="auto"/>
      <w:ind w:left="486" w:hanging="420"/>
      <w:outlineLvl w:val="2"/>
    </w:pPr>
  </w:style>
  <w:style w:type="paragraph" w:customStyle="1" w:styleId="167">
    <w:name w:val="章标题"/>
    <w:next w:val="1"/>
    <w:qFormat/>
    <w:uiPriority w:val="0"/>
    <w:pPr>
      <w:tabs>
        <w:tab w:val="left" w:pos="992"/>
      </w:tabs>
      <w:spacing w:before="50" w:after="50" w:line="360" w:lineRule="auto"/>
      <w:ind w:left="992" w:hanging="567"/>
      <w:jc w:val="both"/>
      <w:outlineLvl w:val="1"/>
    </w:pPr>
    <w:rPr>
      <w:rFonts w:ascii="黑体" w:hAnsi="Times New Roman" w:eastAsia="黑体" w:cs="Times New Roman"/>
      <w:sz w:val="21"/>
      <w:lang w:val="en-US" w:eastAsia="zh-CN" w:bidi="ar-SA"/>
    </w:rPr>
  </w:style>
  <w:style w:type="paragraph" w:customStyle="1" w:styleId="168">
    <w:name w:val="段"/>
    <w:next w:val="1"/>
    <w:qFormat/>
    <w:uiPriority w:val="0"/>
    <w:pPr>
      <w:tabs>
        <w:tab w:val="left" w:pos="1395"/>
      </w:tabs>
      <w:autoSpaceDE w:val="0"/>
      <w:autoSpaceDN w:val="0"/>
      <w:ind w:firstLine="425"/>
      <w:jc w:val="both"/>
    </w:pPr>
    <w:rPr>
      <w:rFonts w:ascii="宋体" w:hAnsi="Times New Roman" w:eastAsia="宋体" w:cs="Times New Roman"/>
      <w:sz w:val="21"/>
      <w:lang w:val="en-US" w:eastAsia="zh-CN" w:bidi="ar-SA"/>
    </w:rPr>
  </w:style>
  <w:style w:type="character" w:customStyle="1" w:styleId="169">
    <w:name w:val="称呼 Char1"/>
    <w:link w:val="15"/>
    <w:qFormat/>
    <w:uiPriority w:val="0"/>
    <w:rPr>
      <w:rFonts w:ascii="Times New Roman" w:hAnsi="Times New Roman" w:eastAsia="宋体" w:cs="Times New Roman"/>
      <w:szCs w:val="20"/>
    </w:rPr>
  </w:style>
  <w:style w:type="character" w:customStyle="1" w:styleId="170">
    <w:name w:val="称呼 Char"/>
    <w:basedOn w:val="41"/>
    <w:qFormat/>
    <w:uiPriority w:val="99"/>
    <w:rPr>
      <w:rFonts w:ascii="Times New Roman" w:hAnsi="Times New Roman" w:eastAsia="宋体" w:cs="Times New Roman"/>
      <w:szCs w:val="24"/>
    </w:rPr>
  </w:style>
  <w:style w:type="paragraph" w:customStyle="1" w:styleId="171">
    <w:name w:val="NICMAN Body Text"/>
    <w:basedOn w:val="1"/>
    <w:next w:val="18"/>
    <w:qFormat/>
    <w:uiPriority w:val="0"/>
    <w:pPr>
      <w:spacing w:after="120" w:line="400" w:lineRule="exact"/>
      <w:ind w:firstLine="454"/>
    </w:pPr>
    <w:rPr>
      <w:sz w:val="24"/>
      <w:szCs w:val="20"/>
    </w:rPr>
  </w:style>
  <w:style w:type="character" w:customStyle="1" w:styleId="172">
    <w:name w:val="纯文本 Char1"/>
    <w:qFormat/>
    <w:uiPriority w:val="0"/>
    <w:rPr>
      <w:rFonts w:ascii="宋体" w:hAnsi="Courier New" w:cs="Courier New"/>
      <w:kern w:val="2"/>
      <w:sz w:val="21"/>
      <w:szCs w:val="21"/>
    </w:rPr>
  </w:style>
  <w:style w:type="paragraph" w:customStyle="1" w:styleId="173">
    <w:name w:val="正文首行缩进:  2 字符"/>
    <w:basedOn w:val="1"/>
    <w:qFormat/>
    <w:uiPriority w:val="0"/>
    <w:pPr>
      <w:spacing w:line="360" w:lineRule="auto"/>
      <w:ind w:firstLine="482" w:firstLineChars="200"/>
    </w:pPr>
    <w:rPr>
      <w:rFonts w:ascii="Arial" w:hAnsi="Arial" w:cs="宋体"/>
      <w:kern w:val="0"/>
      <w:sz w:val="24"/>
      <w:szCs w:val="20"/>
    </w:rPr>
  </w:style>
  <w:style w:type="paragraph" w:customStyle="1" w:styleId="174">
    <w:name w:val="Char Char Char Char"/>
    <w:basedOn w:val="1"/>
    <w:qFormat/>
    <w:uiPriority w:val="0"/>
    <w:rPr>
      <w:rFonts w:ascii="Tahoma" w:hAnsi="Tahoma"/>
      <w:sz w:val="24"/>
      <w:szCs w:val="20"/>
    </w:rPr>
  </w:style>
  <w:style w:type="paragraph" w:customStyle="1" w:styleId="175">
    <w:name w:val="正文首行缩进两字符 Char Char"/>
    <w:basedOn w:val="1"/>
    <w:qFormat/>
    <w:uiPriority w:val="0"/>
    <w:pPr>
      <w:spacing w:line="360" w:lineRule="auto"/>
      <w:ind w:firstLine="200" w:firstLineChars="200"/>
    </w:pPr>
    <w:rPr>
      <w:sz w:val="24"/>
    </w:rPr>
  </w:style>
  <w:style w:type="paragraph" w:customStyle="1" w:styleId="176">
    <w:name w:val="123"/>
    <w:basedOn w:val="1"/>
    <w:qFormat/>
    <w:uiPriority w:val="0"/>
    <w:pPr>
      <w:spacing w:before="120"/>
      <w:ind w:firstLine="425"/>
    </w:pPr>
    <w:rPr>
      <w:szCs w:val="20"/>
    </w:rPr>
  </w:style>
  <w:style w:type="paragraph" w:customStyle="1" w:styleId="177">
    <w:name w:val="Char1 Char Char Char"/>
    <w:basedOn w:val="1"/>
    <w:qFormat/>
    <w:uiPriority w:val="0"/>
    <w:rPr>
      <w:rFonts w:ascii="Tahoma" w:hAnsi="Tahoma"/>
      <w:sz w:val="24"/>
      <w:szCs w:val="20"/>
    </w:rPr>
  </w:style>
  <w:style w:type="paragraph" w:customStyle="1" w:styleId="178">
    <w:name w:val="大标题"/>
    <w:basedOn w:val="1"/>
    <w:qFormat/>
    <w:uiPriority w:val="0"/>
    <w:pPr>
      <w:spacing w:line="600" w:lineRule="exact"/>
      <w:ind w:left="340" w:right="340"/>
      <w:jc w:val="center"/>
    </w:pPr>
    <w:rPr>
      <w:sz w:val="44"/>
      <w:szCs w:val="20"/>
    </w:rPr>
  </w:style>
  <w:style w:type="character" w:customStyle="1" w:styleId="179">
    <w:name w:val="HTML 预设格式 Char1"/>
    <w:link w:val="33"/>
    <w:qFormat/>
    <w:uiPriority w:val="0"/>
    <w:rPr>
      <w:rFonts w:ascii="宋体" w:hAnsi="宋体" w:eastAsia="宋体" w:cs="宋体"/>
      <w:kern w:val="0"/>
      <w:sz w:val="24"/>
      <w:szCs w:val="24"/>
    </w:rPr>
  </w:style>
  <w:style w:type="character" w:customStyle="1" w:styleId="180">
    <w:name w:val="HTML 预设格式 Char"/>
    <w:basedOn w:val="41"/>
    <w:semiHidden/>
    <w:qFormat/>
    <w:uiPriority w:val="99"/>
    <w:rPr>
      <w:rFonts w:ascii="Courier New" w:hAnsi="Courier New" w:eastAsia="宋体" w:cs="Courier New"/>
      <w:sz w:val="20"/>
      <w:szCs w:val="20"/>
    </w:rPr>
  </w:style>
  <w:style w:type="paragraph" w:customStyle="1" w:styleId="181">
    <w:name w:val="表格文字（大）"/>
    <w:basedOn w:val="1"/>
    <w:qFormat/>
    <w:uiPriority w:val="0"/>
    <w:pPr>
      <w:spacing w:before="20" w:after="20"/>
    </w:pPr>
    <w:rPr>
      <w:rFonts w:ascii="Century Gothic" w:hAnsi="Century Gothic"/>
      <w:sz w:val="24"/>
      <w:szCs w:val="20"/>
    </w:rPr>
  </w:style>
  <w:style w:type="paragraph" w:customStyle="1" w:styleId="182">
    <w:name w:val="Item List in Table"/>
    <w:basedOn w:val="1"/>
    <w:qFormat/>
    <w:uiPriority w:val="0"/>
    <w:pPr>
      <w:tabs>
        <w:tab w:val="left" w:pos="420"/>
      </w:tabs>
      <w:ind w:left="420" w:hanging="420"/>
    </w:pPr>
  </w:style>
  <w:style w:type="paragraph" w:customStyle="1" w:styleId="183">
    <w:name w:val="Char Char Char Char Char Char Char Char Char Char"/>
    <w:basedOn w:val="1"/>
    <w:qFormat/>
    <w:uiPriority w:val="0"/>
    <w:pPr>
      <w:tabs>
        <w:tab w:val="left" w:pos="360"/>
      </w:tabs>
      <w:ind w:left="360" w:hanging="360" w:hangingChars="200"/>
    </w:pPr>
    <w:rPr>
      <w:sz w:val="24"/>
    </w:rPr>
  </w:style>
  <w:style w:type="paragraph" w:customStyle="1" w:styleId="184">
    <w:name w:val="样式4"/>
    <w:basedOn w:val="1"/>
    <w:qFormat/>
    <w:uiPriority w:val="0"/>
    <w:pPr>
      <w:jc w:val="center"/>
      <w:outlineLvl w:val="0"/>
    </w:pPr>
    <w:rPr>
      <w:b/>
      <w:sz w:val="32"/>
      <w:szCs w:val="20"/>
    </w:rPr>
  </w:style>
  <w:style w:type="character" w:customStyle="1" w:styleId="185">
    <w:name w:val="h31"/>
    <w:qFormat/>
    <w:uiPriority w:val="0"/>
    <w:rPr>
      <w:spacing w:val="330"/>
      <w:sz w:val="21"/>
      <w:szCs w:val="21"/>
    </w:rPr>
  </w:style>
  <w:style w:type="paragraph" w:customStyle="1" w:styleId="186">
    <w:name w:val="Titel 2"/>
    <w:basedOn w:val="1"/>
    <w:qFormat/>
    <w:uiPriority w:val="0"/>
    <w:pPr>
      <w:tabs>
        <w:tab w:val="decimal" w:leader="underscore" w:pos="8504"/>
        <w:tab w:val="right" w:pos="9923"/>
      </w:tabs>
      <w:autoSpaceDE w:val="0"/>
      <w:autoSpaceDN w:val="0"/>
    </w:pPr>
    <w:rPr>
      <w:rFonts w:ascii="Helvetica-Black" w:hAnsi="Helvetica-Black"/>
      <w:b/>
      <w:bCs/>
      <w:kern w:val="0"/>
      <w:sz w:val="28"/>
      <w:szCs w:val="28"/>
      <w:lang w:eastAsia="en-US"/>
    </w:rPr>
  </w:style>
  <w:style w:type="character" w:customStyle="1" w:styleId="187">
    <w:name w:val="tpc_content1"/>
    <w:qFormat/>
    <w:uiPriority w:val="0"/>
    <w:rPr>
      <w:sz w:val="15"/>
      <w:szCs w:val="15"/>
    </w:rPr>
  </w:style>
  <w:style w:type="character" w:customStyle="1" w:styleId="188">
    <w:name w:val="blacksmm"/>
    <w:qFormat/>
    <w:uiPriority w:val="0"/>
  </w:style>
  <w:style w:type="character" w:customStyle="1" w:styleId="189">
    <w:name w:val="blacksm"/>
    <w:qFormat/>
    <w:uiPriority w:val="0"/>
  </w:style>
  <w:style w:type="paragraph" w:customStyle="1" w:styleId="190">
    <w:name w:val="标题X.1.1"/>
    <w:basedOn w:val="1"/>
    <w:next w:val="18"/>
    <w:qFormat/>
    <w:uiPriority w:val="0"/>
    <w:pPr>
      <w:tabs>
        <w:tab w:val="left" w:pos="540"/>
        <w:tab w:val="left" w:pos="5985"/>
      </w:tabs>
      <w:spacing w:beforeLines="150" w:line="400" w:lineRule="exact"/>
      <w:outlineLvl w:val="2"/>
    </w:pPr>
    <w:rPr>
      <w:rFonts w:ascii="宋体" w:hAnsi="宋体"/>
      <w:b/>
      <w:sz w:val="30"/>
      <w:szCs w:val="30"/>
    </w:rPr>
  </w:style>
  <w:style w:type="character" w:customStyle="1" w:styleId="191">
    <w:name w:val="正文文本 2 Char1"/>
    <w:link w:val="32"/>
    <w:semiHidden/>
    <w:qFormat/>
    <w:uiPriority w:val="0"/>
    <w:rPr>
      <w:rFonts w:ascii="Times New Roman" w:hAnsi="Times New Roman" w:eastAsia="宋体" w:cs="Times New Roman"/>
      <w:i/>
      <w:kern w:val="0"/>
      <w:sz w:val="24"/>
      <w:szCs w:val="20"/>
      <w:lang w:val="it-IT"/>
    </w:rPr>
  </w:style>
  <w:style w:type="character" w:customStyle="1" w:styleId="192">
    <w:name w:val="正文文本 2 Char"/>
    <w:basedOn w:val="41"/>
    <w:semiHidden/>
    <w:qFormat/>
    <w:uiPriority w:val="99"/>
    <w:rPr>
      <w:rFonts w:ascii="Times New Roman" w:hAnsi="Times New Roman" w:eastAsia="宋体" w:cs="Times New Roman"/>
      <w:szCs w:val="24"/>
    </w:rPr>
  </w:style>
  <w:style w:type="character" w:customStyle="1" w:styleId="193">
    <w:name w:val="正文首行缩进 Char1"/>
    <w:link w:val="37"/>
    <w:qFormat/>
    <w:uiPriority w:val="0"/>
    <w:rPr>
      <w:rFonts w:ascii="Times New Roman" w:hAnsi="Times New Roman" w:eastAsia="宋体" w:cs="Times New Roman"/>
      <w:szCs w:val="24"/>
    </w:rPr>
  </w:style>
  <w:style w:type="character" w:customStyle="1" w:styleId="194">
    <w:name w:val="正文首行缩进 Char"/>
    <w:basedOn w:val="73"/>
    <w:qFormat/>
    <w:uiPriority w:val="99"/>
    <w:rPr>
      <w:rFonts w:ascii="Times New Roman" w:hAnsi="Times New Roman" w:eastAsia="宋体" w:cs="Times New Roman"/>
      <w:szCs w:val="24"/>
    </w:rPr>
  </w:style>
  <w:style w:type="character" w:customStyle="1" w:styleId="195">
    <w:name w:val="navhead1"/>
    <w:qFormat/>
    <w:uiPriority w:val="0"/>
    <w:rPr>
      <w:rFonts w:hint="default" w:ascii="Verdana" w:hAnsi="Verdana"/>
      <w:b/>
      <w:bCs/>
      <w:color w:val="000066"/>
      <w:sz w:val="22"/>
      <w:szCs w:val="22"/>
      <w:u w:val="none"/>
      <w:shd w:val="clear" w:color="auto" w:fill="FFFFFF"/>
    </w:rPr>
  </w:style>
  <w:style w:type="character" w:customStyle="1" w:styleId="196">
    <w:name w:val="boldheader1"/>
    <w:qFormat/>
    <w:uiPriority w:val="0"/>
    <w:rPr>
      <w:rFonts w:hint="default" w:ascii="Verdana" w:hAnsi="Verdana"/>
      <w:b/>
      <w:bCs/>
      <w:color w:val="000066"/>
      <w:sz w:val="22"/>
      <w:szCs w:val="22"/>
      <w:u w:val="none"/>
    </w:rPr>
  </w:style>
  <w:style w:type="character" w:customStyle="1" w:styleId="197">
    <w:name w:val="style11"/>
    <w:qFormat/>
    <w:uiPriority w:val="0"/>
    <w:rPr>
      <w:b/>
      <w:bCs/>
      <w:color w:val="669900"/>
    </w:rPr>
  </w:style>
  <w:style w:type="paragraph" w:customStyle="1" w:styleId="198">
    <w:name w:val="SecC"/>
    <w:qFormat/>
    <w:uiPriority w:val="0"/>
    <w:pPr>
      <w:tabs>
        <w:tab w:val="left" w:pos="1701"/>
        <w:tab w:val="left" w:pos="2126"/>
        <w:tab w:val="left" w:pos="2552"/>
        <w:tab w:val="left" w:pos="3969"/>
        <w:tab w:val="left" w:pos="5670"/>
        <w:tab w:val="right" w:pos="7938"/>
      </w:tabs>
      <w:ind w:left="1701" w:hanging="1701"/>
      <w:jc w:val="both"/>
    </w:pPr>
    <w:rPr>
      <w:rFonts w:ascii="Frutiger 55 Roman" w:hAnsi="Frutiger 55 Roman" w:eastAsia="宋体" w:cs="Times New Roman"/>
      <w:sz w:val="22"/>
      <w:lang w:val="en-GB" w:eastAsia="zh-CN" w:bidi="ar-SA"/>
    </w:rPr>
  </w:style>
  <w:style w:type="paragraph" w:customStyle="1" w:styleId="199">
    <w:name w:val="Char Char Char Char Char Char Char Char Char Char1"/>
    <w:basedOn w:val="1"/>
    <w:qFormat/>
    <w:uiPriority w:val="0"/>
    <w:pPr>
      <w:tabs>
        <w:tab w:val="left" w:pos="360"/>
      </w:tabs>
      <w:ind w:left="360" w:hanging="360" w:hangingChars="200"/>
    </w:pPr>
    <w:rPr>
      <w:sz w:val="24"/>
    </w:rPr>
  </w:style>
  <w:style w:type="character" w:customStyle="1" w:styleId="200">
    <w:name w:val="parameter"/>
    <w:qFormat/>
    <w:uiPriority w:val="0"/>
  </w:style>
  <w:style w:type="character" w:customStyle="1" w:styleId="201">
    <w:name w:val="style1"/>
    <w:qFormat/>
    <w:uiPriority w:val="0"/>
  </w:style>
  <w:style w:type="character" w:customStyle="1" w:styleId="202">
    <w:name w:val="lh15 s"/>
    <w:qFormat/>
    <w:uiPriority w:val="0"/>
  </w:style>
  <w:style w:type="paragraph" w:customStyle="1" w:styleId="203">
    <w:name w:val="Char Char Char Char Char Char1 Char"/>
    <w:basedOn w:val="1"/>
    <w:qFormat/>
    <w:uiPriority w:val="0"/>
    <w:pPr>
      <w:spacing w:after="160" w:line="240" w:lineRule="exact"/>
    </w:pPr>
    <w:rPr>
      <w:rFonts w:ascii="Verdana" w:hAnsi="Verdana"/>
      <w:kern w:val="0"/>
      <w:szCs w:val="20"/>
      <w:lang w:eastAsia="en-US"/>
    </w:rPr>
  </w:style>
  <w:style w:type="paragraph" w:customStyle="1" w:styleId="204">
    <w:name w:val=".."/>
    <w:basedOn w:val="160"/>
    <w:next w:val="160"/>
    <w:qFormat/>
    <w:uiPriority w:val="0"/>
    <w:rPr>
      <w:rFonts w:cs="Times New Roman"/>
      <w:color w:val="auto"/>
    </w:rPr>
  </w:style>
  <w:style w:type="paragraph" w:customStyle="1" w:styleId="205">
    <w:name w:val="标题3"/>
    <w:basedOn w:val="4"/>
    <w:qFormat/>
    <w:uiPriority w:val="0"/>
    <w:pPr>
      <w:spacing w:line="416" w:lineRule="auto"/>
    </w:pPr>
    <w:rPr>
      <w:rFonts w:ascii="宋体" w:hAnsi="宋体"/>
      <w:bCs/>
      <w:sz w:val="28"/>
      <w:szCs w:val="28"/>
    </w:rPr>
  </w:style>
  <w:style w:type="character" w:customStyle="1" w:styleId="206">
    <w:name w:val="t31"/>
    <w:qFormat/>
    <w:uiPriority w:val="0"/>
    <w:rPr>
      <w:color w:val="000000"/>
      <w:sz w:val="21"/>
      <w:szCs w:val="21"/>
      <w:u w:val="none"/>
    </w:rPr>
  </w:style>
  <w:style w:type="paragraph" w:customStyle="1" w:styleId="207">
    <w:name w:val="Char1 Char Char Char1"/>
    <w:basedOn w:val="1"/>
    <w:qFormat/>
    <w:uiPriority w:val="0"/>
    <w:rPr>
      <w:rFonts w:ascii="Tahoma" w:hAnsi="Tahoma"/>
      <w:sz w:val="24"/>
      <w:szCs w:val="20"/>
    </w:rPr>
  </w:style>
  <w:style w:type="character" w:customStyle="1" w:styleId="208">
    <w:name w:val="tit1"/>
    <w:qFormat/>
    <w:uiPriority w:val="0"/>
    <w:rPr>
      <w:rFonts w:hint="default" w:ascii="Arial" w:hAnsi="Arial" w:eastAsia="黑体" w:cs="Arial"/>
      <w:b/>
      <w:bCs/>
      <w:color w:val="000000"/>
      <w:sz w:val="21"/>
      <w:szCs w:val="21"/>
    </w:rPr>
  </w:style>
  <w:style w:type="character" w:customStyle="1" w:styleId="209">
    <w:name w:val="11pt"/>
    <w:qFormat/>
    <w:uiPriority w:val="0"/>
  </w:style>
  <w:style w:type="paragraph" w:customStyle="1" w:styleId="210">
    <w:name w:val="Char Char Char Char2"/>
    <w:basedOn w:val="1"/>
    <w:qFormat/>
    <w:uiPriority w:val="0"/>
    <w:pPr>
      <w:tabs>
        <w:tab w:val="left" w:pos="360"/>
      </w:tabs>
      <w:ind w:firstLine="420" w:firstLineChars="150"/>
    </w:pPr>
    <w:rPr>
      <w:rFonts w:ascii="Arial" w:hAnsi="Arial" w:cs="Arial"/>
      <w:sz w:val="20"/>
      <w:szCs w:val="20"/>
    </w:rPr>
  </w:style>
  <w:style w:type="paragraph" w:customStyle="1" w:styleId="211">
    <w:name w:val="Char Char1 Char Char Char Char Char Char"/>
    <w:basedOn w:val="1"/>
    <w:qFormat/>
    <w:uiPriority w:val="0"/>
    <w:pPr>
      <w:spacing w:after="160" w:line="240" w:lineRule="exact"/>
    </w:pPr>
    <w:rPr>
      <w:rFonts w:ascii="Verdana" w:hAnsi="Verdana" w:eastAsia="仿宋_GB2312"/>
      <w:spacing w:val="-4"/>
      <w:kern w:val="0"/>
      <w:position w:val="-8"/>
      <w:sz w:val="24"/>
      <w:szCs w:val="20"/>
      <w:lang w:eastAsia="en-US"/>
    </w:rPr>
  </w:style>
  <w:style w:type="character" w:customStyle="1" w:styleId="212">
    <w:name w:val="text_line_height_201"/>
    <w:qFormat/>
    <w:uiPriority w:val="0"/>
  </w:style>
  <w:style w:type="paragraph" w:customStyle="1" w:styleId="213">
    <w:name w:val="Char Char Char Char Char Char Char Char Char Char Char Char Char Char Char Char"/>
    <w:basedOn w:val="1"/>
    <w:qFormat/>
    <w:uiPriority w:val="0"/>
    <w:pPr>
      <w:tabs>
        <w:tab w:val="left" w:pos="360"/>
      </w:tabs>
    </w:pPr>
    <w:rPr>
      <w:sz w:val="24"/>
    </w:rPr>
  </w:style>
  <w:style w:type="paragraph" w:customStyle="1" w:styleId="214">
    <w:name w:val="Char Char1"/>
    <w:basedOn w:val="13"/>
    <w:qFormat/>
    <w:uiPriority w:val="0"/>
    <w:rPr>
      <w:rFonts w:ascii="Tahoma" w:hAnsi="Tahoma"/>
      <w:sz w:val="24"/>
    </w:rPr>
  </w:style>
  <w:style w:type="character" w:customStyle="1" w:styleId="215">
    <w:name w:val="普通文字 Char Char"/>
    <w:qFormat/>
    <w:uiPriority w:val="0"/>
    <w:rPr>
      <w:rFonts w:ascii="宋体" w:hAnsi="Courier New" w:eastAsia="宋体" w:cs="Courier New"/>
      <w:kern w:val="2"/>
      <w:sz w:val="21"/>
      <w:szCs w:val="21"/>
      <w:lang w:val="en-US" w:eastAsia="zh-CN" w:bidi="ar-SA"/>
    </w:rPr>
  </w:style>
  <w:style w:type="paragraph" w:customStyle="1" w:styleId="216">
    <w:name w:val="Char1 Char Char"/>
    <w:basedOn w:val="1"/>
    <w:qFormat/>
    <w:uiPriority w:val="0"/>
    <w:pPr>
      <w:spacing w:after="160" w:line="240" w:lineRule="exact"/>
    </w:pPr>
    <w:rPr>
      <w:rFonts w:ascii="Arial" w:hAnsi="Arial" w:eastAsia="Times New Roman" w:cs="Verdana"/>
      <w:b/>
      <w:kern w:val="0"/>
      <w:sz w:val="24"/>
      <w:lang w:eastAsia="en-US"/>
    </w:rPr>
  </w:style>
  <w:style w:type="paragraph" w:customStyle="1" w:styleId="217">
    <w:name w:val="字元 字元"/>
    <w:basedOn w:val="1"/>
    <w:qFormat/>
    <w:uiPriority w:val="0"/>
    <w:rPr>
      <w:szCs w:val="20"/>
    </w:rPr>
  </w:style>
  <w:style w:type="paragraph" w:customStyle="1" w:styleId="218">
    <w:name w:val="090909"/>
    <w:basedOn w:val="1"/>
    <w:qFormat/>
    <w:uiPriority w:val="0"/>
    <w:pPr>
      <w:ind w:firstLine="200" w:firstLineChars="200"/>
      <w:outlineLvl w:val="0"/>
    </w:pPr>
    <w:rPr>
      <w:szCs w:val="20"/>
    </w:rPr>
  </w:style>
  <w:style w:type="paragraph" w:customStyle="1" w:styleId="219">
    <w:name w:val="Char Char Char1"/>
    <w:basedOn w:val="1"/>
    <w:qFormat/>
    <w:uiPriority w:val="0"/>
    <w:rPr>
      <w:rFonts w:ascii="Tahoma" w:hAnsi="Tahoma"/>
      <w:sz w:val="24"/>
      <w:szCs w:val="20"/>
    </w:rPr>
  </w:style>
  <w:style w:type="character" w:customStyle="1" w:styleId="220">
    <w:name w:val="纯文本 字符"/>
    <w:qFormat/>
    <w:uiPriority w:val="0"/>
    <w:rPr>
      <w:rFonts w:ascii="宋体" w:hAnsi="Courier New"/>
    </w:rPr>
  </w:style>
  <w:style w:type="character" w:customStyle="1" w:styleId="221">
    <w:name w:val="emtidy-1"/>
    <w:qFormat/>
    <w:uiPriority w:val="0"/>
  </w:style>
  <w:style w:type="character" w:customStyle="1" w:styleId="222">
    <w:name w:val="标题 Char"/>
    <w:basedOn w:val="41"/>
    <w:link w:val="35"/>
    <w:qFormat/>
    <w:uiPriority w:val="0"/>
    <w:rPr>
      <w:rFonts w:ascii="Arial" w:hAnsi="Arial" w:eastAsia="宋体" w:cs="Arial"/>
      <w:b/>
      <w:bCs/>
      <w:sz w:val="32"/>
      <w:szCs w:val="32"/>
    </w:rPr>
  </w:style>
  <w:style w:type="paragraph" w:customStyle="1" w:styleId="223">
    <w:name w:val="p0"/>
    <w:basedOn w:val="1"/>
    <w:qFormat/>
    <w:uiPriority w:val="0"/>
    <w:rPr>
      <w:rFonts w:ascii="Calibri" w:hAnsi="Calibri"/>
      <w:kern w:val="0"/>
      <w:szCs w:val="21"/>
    </w:rPr>
  </w:style>
  <w:style w:type="paragraph" w:customStyle="1" w:styleId="224">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25">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26">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0"/>
      <w:szCs w:val="20"/>
    </w:rPr>
  </w:style>
  <w:style w:type="paragraph" w:customStyle="1" w:styleId="227">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8">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229">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30">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231">
    <w:name w:val="xl72"/>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2">
    <w:name w:val="xl73"/>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233">
    <w:name w:val="xl74"/>
    <w:basedOn w:val="1"/>
    <w:qFormat/>
    <w:uiPriority w:val="0"/>
    <w:pPr>
      <w:pBdr>
        <w:top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0"/>
      <w:szCs w:val="20"/>
    </w:rPr>
  </w:style>
  <w:style w:type="paragraph" w:customStyle="1" w:styleId="234">
    <w:name w:val="xl75"/>
    <w:basedOn w:val="1"/>
    <w:qFormat/>
    <w:uiPriority w:val="0"/>
    <w:pPr>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5">
    <w:name w:val="xl76"/>
    <w:basedOn w:val="1"/>
    <w:qFormat/>
    <w:uiPriority w:val="0"/>
    <w:pPr>
      <w:pBdr>
        <w:left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236">
    <w:name w:val="xl77"/>
    <w:basedOn w:val="1"/>
    <w:qFormat/>
    <w:uiPriority w:val="0"/>
    <w:pPr>
      <w:pBdr>
        <w:top w:val="single" w:color="auto" w:sz="4" w:space="0"/>
        <w:left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37">
    <w:name w:val="xl78"/>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238">
    <w:name w:val="xl79"/>
    <w:basedOn w:val="1"/>
    <w:qFormat/>
    <w:uiPriority w:val="0"/>
    <w:pPr>
      <w:pBdr>
        <w:left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39">
    <w:name w:val="xl80"/>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40">
    <w:name w:val="xl81"/>
    <w:basedOn w:val="1"/>
    <w:qFormat/>
    <w:uiPriority w:val="0"/>
    <w:pPr>
      <w:pBdr>
        <w:top w:val="single" w:color="auto" w:sz="4" w:space="0"/>
        <w:left w:val="single" w:color="auto" w:sz="4" w:space="0"/>
        <w:right w:val="single" w:color="auto" w:sz="4" w:space="0"/>
      </w:pBdr>
      <w:spacing w:before="100" w:beforeAutospacing="1" w:after="100" w:afterAutospacing="1"/>
      <w:jc w:val="right"/>
    </w:pPr>
    <w:rPr>
      <w:rFonts w:ascii="宋体" w:hAnsi="宋体" w:cs="宋体"/>
      <w:color w:val="000000"/>
      <w:kern w:val="0"/>
      <w:sz w:val="20"/>
      <w:szCs w:val="20"/>
    </w:rPr>
  </w:style>
  <w:style w:type="paragraph" w:customStyle="1" w:styleId="241">
    <w:name w:val="xl82"/>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42">
    <w:name w:val="xl83"/>
    <w:basedOn w:val="1"/>
    <w:qFormat/>
    <w:uiPriority w:val="0"/>
    <w:pPr>
      <w:pBdr>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243">
    <w:name w:val="xl84"/>
    <w:basedOn w:val="1"/>
    <w:qFormat/>
    <w:uiPriority w:val="0"/>
    <w:pPr>
      <w:pBdr>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0"/>
      <w:szCs w:val="20"/>
    </w:rPr>
  </w:style>
  <w:style w:type="paragraph" w:customStyle="1" w:styleId="244">
    <w:name w:val="xl85"/>
    <w:basedOn w:val="1"/>
    <w:qFormat/>
    <w:uiPriority w:val="0"/>
    <w:pPr>
      <w:spacing w:before="100" w:beforeAutospacing="1" w:after="100" w:afterAutospacing="1"/>
      <w:jc w:val="center"/>
    </w:pPr>
    <w:rPr>
      <w:rFonts w:ascii="宋体" w:hAnsi="宋体" w:cs="宋体"/>
      <w:kern w:val="0"/>
      <w:sz w:val="20"/>
      <w:szCs w:val="20"/>
    </w:rPr>
  </w:style>
  <w:style w:type="paragraph" w:customStyle="1" w:styleId="245">
    <w:name w:val="xl86"/>
    <w:basedOn w:val="1"/>
    <w:qFormat/>
    <w:uiPriority w:val="0"/>
    <w:pPr>
      <w:pBdr>
        <w:left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246">
    <w:name w:val="xl87"/>
    <w:basedOn w:val="1"/>
    <w:qFormat/>
    <w:uiPriority w:val="0"/>
    <w:pPr>
      <w:spacing w:before="100" w:beforeAutospacing="1" w:after="100" w:afterAutospacing="1"/>
      <w:jc w:val="right"/>
    </w:pPr>
    <w:rPr>
      <w:rFonts w:ascii="宋体" w:hAnsi="宋体" w:cs="宋体"/>
      <w:kern w:val="0"/>
      <w:sz w:val="20"/>
      <w:szCs w:val="20"/>
    </w:rPr>
  </w:style>
  <w:style w:type="paragraph" w:customStyle="1" w:styleId="247">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248">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0"/>
      <w:szCs w:val="20"/>
    </w:rPr>
  </w:style>
  <w:style w:type="paragraph" w:customStyle="1" w:styleId="249">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50">
    <w:name w:val="xl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251">
    <w:name w:val="xl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252">
    <w:name w:val="xl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253">
    <w:name w:val="xl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54">
    <w:name w:val="xl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0"/>
      <w:szCs w:val="20"/>
    </w:rPr>
  </w:style>
  <w:style w:type="character" w:customStyle="1" w:styleId="255">
    <w:name w:val="标题 2 Char1"/>
    <w:qFormat/>
    <w:uiPriority w:val="0"/>
    <w:rPr>
      <w:rFonts w:ascii="Arial" w:hAnsi="Arial" w:eastAsia="黑体" w:cs="Times New Roman"/>
      <w:b/>
      <w:bCs/>
      <w:sz w:val="32"/>
      <w:szCs w:val="32"/>
    </w:rPr>
  </w:style>
  <w:style w:type="character" w:customStyle="1" w:styleId="256">
    <w:name w:val="标题 字符"/>
    <w:qFormat/>
    <w:uiPriority w:val="10"/>
    <w:rPr>
      <w:rFonts w:ascii="等线 Light" w:hAnsi="等线 Light" w:eastAsia="等线 Light" w:cs="Times New Roman"/>
      <w:b/>
      <w:bCs/>
      <w:sz w:val="32"/>
      <w:szCs w:val="32"/>
    </w:rPr>
  </w:style>
  <w:style w:type="character" w:customStyle="1" w:styleId="257">
    <w:name w:val="列出段落 字符"/>
    <w:qFormat/>
    <w:locked/>
    <w:uiPriority w:val="34"/>
    <w:rPr>
      <w:kern w:val="2"/>
      <w:sz w:val="21"/>
      <w:szCs w:val="22"/>
    </w:rPr>
  </w:style>
  <w:style w:type="paragraph" w:customStyle="1" w:styleId="258">
    <w:name w:val="4标题"/>
    <w:basedOn w:val="5"/>
    <w:link w:val="259"/>
    <w:qFormat/>
    <w:uiPriority w:val="0"/>
    <w:pPr>
      <w:adjustRightInd/>
      <w:spacing w:line="376" w:lineRule="auto"/>
      <w:textAlignment w:val="auto"/>
    </w:pPr>
    <w:rPr>
      <w:rFonts w:ascii="Calibri Light" w:hAnsi="Calibri Light" w:eastAsia="宋体"/>
      <w:bCs/>
      <w:kern w:val="2"/>
      <w:szCs w:val="28"/>
    </w:rPr>
  </w:style>
  <w:style w:type="character" w:customStyle="1" w:styleId="259">
    <w:name w:val="4标题 Char"/>
    <w:link w:val="258"/>
    <w:qFormat/>
    <w:uiPriority w:val="0"/>
    <w:rPr>
      <w:rFonts w:ascii="Calibri Light" w:hAnsi="Calibri Light" w:eastAsia="宋体" w:cs="Times New Roman"/>
      <w:b/>
      <w:bCs/>
      <w:sz w:val="28"/>
      <w:szCs w:val="28"/>
    </w:rPr>
  </w:style>
  <w:style w:type="paragraph" w:customStyle="1" w:styleId="260">
    <w:name w:val="xl65"/>
    <w:basedOn w:val="1"/>
    <w:qFormat/>
    <w:uiPriority w:val="0"/>
    <w:pPr>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华文细黑" w:hAnsi="华文细黑" w:eastAsia="华文细黑" w:cs="宋体"/>
      <w:kern w:val="0"/>
      <w:sz w:val="24"/>
    </w:rPr>
  </w:style>
  <w:style w:type="paragraph" w:styleId="261">
    <w:name w:val="List Paragraph"/>
    <w:basedOn w:val="1"/>
    <w:link w:val="262"/>
    <w:unhideWhenUsed/>
    <w:qFormat/>
    <w:uiPriority w:val="34"/>
    <w:pPr>
      <w:ind w:firstLine="420" w:firstLineChars="200"/>
    </w:pPr>
  </w:style>
  <w:style w:type="character" w:customStyle="1" w:styleId="262">
    <w:name w:val="列出段落 Char1"/>
    <w:link w:val="261"/>
    <w:qFormat/>
    <w:uiPriority w:val="34"/>
    <w:rPr>
      <w:kern w:val="2"/>
      <w:sz w:val="21"/>
      <w:szCs w:val="24"/>
    </w:rPr>
  </w:style>
  <w:style w:type="paragraph" w:customStyle="1" w:styleId="263">
    <w:name w:val="正文表格"/>
    <w:basedOn w:val="1"/>
    <w:qFormat/>
    <w:uiPriority w:val="0"/>
    <w:pPr>
      <w:widowControl w:val="0"/>
      <w:jc w:val="center"/>
    </w:pPr>
    <w:rPr>
      <w:rFonts w:ascii="宋体" w:hAnsi="宋体" w:cs="宋体"/>
      <w:color w:val="000000"/>
      <w:kern w:val="1"/>
      <w:szCs w:val="21"/>
    </w:rPr>
  </w:style>
  <w:style w:type="paragraph" w:customStyle="1" w:styleId="264">
    <w:name w:val="正文无缩进"/>
    <w:basedOn w:val="263"/>
    <w:qFormat/>
    <w:uiPriority w:val="0"/>
    <w:pPr>
      <w:jc w:val="left"/>
    </w:pPr>
  </w:style>
  <w:style w:type="paragraph" w:customStyle="1" w:styleId="265">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266">
    <w:name w:val="正文文本 3 Char"/>
    <w:basedOn w:val="41"/>
    <w:link w:val="16"/>
    <w:semiHidden/>
    <w:qFormat/>
    <w:uiPriority w:val="99"/>
    <w:rPr>
      <w:kern w:val="2"/>
      <w:sz w:val="16"/>
      <w:szCs w:val="16"/>
    </w:rPr>
  </w:style>
  <w:style w:type="paragraph" w:customStyle="1" w:styleId="267">
    <w:name w:val="正文（首行缩进2字符）"/>
    <w:basedOn w:val="1"/>
    <w:qFormat/>
    <w:uiPriority w:val="0"/>
    <w:pPr>
      <w:widowControl w:val="0"/>
      <w:spacing w:line="360" w:lineRule="auto"/>
      <w:ind w:firstLine="480" w:firstLineChars="200"/>
      <w:jc w:val="both"/>
    </w:pPr>
    <w:rPr>
      <w:sz w:val="24"/>
    </w:rPr>
  </w:style>
  <w:style w:type="character" w:customStyle="1" w:styleId="268">
    <w:name w:val="正文首行缩进 Char Char Char Char"/>
    <w:link w:val="269"/>
    <w:qFormat/>
    <w:uiPriority w:val="0"/>
    <w:rPr>
      <w:kern w:val="1"/>
      <w:sz w:val="24"/>
      <w:szCs w:val="24"/>
    </w:rPr>
  </w:style>
  <w:style w:type="paragraph" w:customStyle="1" w:styleId="269">
    <w:name w:val="正文首行缩进 Char Char"/>
    <w:basedOn w:val="18"/>
    <w:link w:val="268"/>
    <w:qFormat/>
    <w:uiPriority w:val="0"/>
    <w:pPr>
      <w:widowControl w:val="0"/>
      <w:suppressAutoHyphens/>
      <w:spacing w:line="360" w:lineRule="auto"/>
      <w:ind w:firstLine="480"/>
    </w:pPr>
    <w:rPr>
      <w:kern w:val="1"/>
      <w:sz w:val="24"/>
    </w:rPr>
  </w:style>
  <w:style w:type="paragraph" w:customStyle="1" w:styleId="270">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9EEF4B-AB5B-4204-9A6D-A2FA617E22E5}">
  <ds:schemaRefs/>
</ds:datastoreItem>
</file>

<file path=docProps/app.xml><?xml version="1.0" encoding="utf-8"?>
<Properties xmlns="http://schemas.openxmlformats.org/officeDocument/2006/extended-properties" xmlns:vt="http://schemas.openxmlformats.org/officeDocument/2006/docPropsVTypes">
  <Template>Normal</Template>
  <Pages>46</Pages>
  <Words>21400</Words>
  <Characters>22438</Characters>
  <Lines>260</Lines>
  <Paragraphs>73</Paragraphs>
  <TotalTime>17</TotalTime>
  <ScaleCrop>false</ScaleCrop>
  <LinksUpToDate>false</LinksUpToDate>
  <CharactersWithSpaces>29513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2022-07-14T02:05:00Z</dcterms:created>
  <dc:creator>97540</dc:creator>
  <cp:lastModifiedBy>017547</cp:lastModifiedBy>
  <cp:lastPrinted>2020-11-12T09:47:00Z</cp:lastPrinted>
  <dcterms:modified xsi:type="dcterms:W3CDTF">2023-05-15T08:35:12Z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738A5F8C2AB7485EBBC5C88E536AAE6C_13</vt:lpwstr>
  </property>
</Properties>
</file>