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94" w:lineRule="exact"/>
        <w:jc w:val="both"/>
        <w:rPr>
          <w:rFonts w:hint="eastAsia" w:ascii="方正仿宋_GBK" w:hAnsi="方正仿宋_GBK" w:eastAsia="方正仿宋_GBK" w:cs="方正仿宋_GBK"/>
          <w:kern w:val="2"/>
          <w:sz w:val="28"/>
          <w:szCs w:val="22"/>
          <w:lang w:val="en-US" w:eastAsia="zh-CN" w:bidi="ar-SA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2"/>
          <w:sz w:val="28"/>
          <w:szCs w:val="22"/>
          <w:lang w:val="en-US" w:eastAsia="zh-CN" w:bidi="ar-SA"/>
        </w:rPr>
        <w:t>附件三：</w:t>
      </w: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val="en-US" w:eastAsia="zh-CN"/>
        </w:rPr>
        <w:t>两江新区产业介绍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两江新区处于西部大开发的重要战略支点、“一带一路”和长江经济带的联结点的核心区域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于2010年6月18日挂牌，是我国第三个、内陆第一个国家级开发开放新区。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目前，两江新区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已形成汽车和电子信息两个2000亿级支柱产业，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并着力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构建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新一代互联网及软件信息业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智能装备、生命健康、先进材料、新型储能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和人工智能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产业为重点发展方向的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“33511”现代制造业产业集群，金融、物流、会展、商贸文旅等服务业加快提质增效。其中，汽车产业正加快打造智能网联新能源汽车产业集群，集聚了长安、长安福特、赛力斯、吉利、理想等10家整车企业，200余家核心零部件企业，以及中国汽车工程研究院、长安汽车全球研发中心等一批研发机构，已形成240万辆整车产能。电子信息产业聚焦“新型显示+集成电路+智能终端”三大方向，已初步形成以京东方为龙头的千亿级新型显示产业集群，以紫光展锐、奥特斯、万国半导体、超硅半导体等为核心的集成电路产业集群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两江新区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以不到全市1.5%的面积贡献了全市约15%的经济总量，20%的规上工业总产值，30%的进出口总额、实际利用外资和数字经济增加值，40%的服务贸易额，50%的世界500强企业，60%的汽车产量，70%的跨境电商交易量。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600" w:lineRule="exact"/>
        <w:ind w:firstLine="883" w:firstLineChars="200"/>
        <w:jc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spacing w:line="600" w:lineRule="exact"/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哈尔滨工业大学重庆研究院简介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哈尔滨工业大学重庆研究院是由两江新区管委会、哈尔滨工业大学于2020年7月17日合作共建的一家综合性的新型研发机构，是哈尔滨工业大学首个落地综合性地方研究院，是学校立足重庆、辐射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西部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地区科技创新支撑的桥头堡、排头兵，是学校优势资源连接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西部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地区的重要窗口。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2020年12月，研究院正式注册。2021年8月，首批科研团队入驻正式开展工作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计划于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4年初，研究院将陆续投入使用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万平方米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正式科研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办公场地。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研究院坚持科研和产业化并重，围绕重庆及两江新区产业发展需求，统筹哈工大一校三区科技创新资源，聚焦工程科学领域前沿方向以及相关交叉学科，布局建设创新研究院、人才培养基地、产业孵化基地、成果转移转化中心、国际合作中心等多个平台；部署“产业核心区”和“创新孵化区”，汇聚创新资源、引领科技创新，助力两江新区产业结构优化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助推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产业升级转型，培育发展新兴产业；深化多元主体协同育人，推进实施产学深度融合、多学科交叉融合，着力培养复合型、应用型、引领型的科技创新人才。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目前，研究院重点围绕汽车与新能源、智能化装备、新材料、信息技术和应急环保五大领域汇聚了1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支科研团队。通过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的发展建设，研究院现有综合办公面积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约2万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平方米，专兼职科研人员已达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余人。其中，两院院士5名、俄罗斯自然科学院院士1人、加拿大皇家科学院院士1人、国家级人才15人，教授级专家30人，具有博士及副高级职称以上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103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累计承担国家和重庆市级重大战略任务、实施关键技术攻关项目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82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项，其中国家级项目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项，项目总经费突破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3.3亿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元；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承担重庆市市级技术创新中心建设2个，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实施产学研合作项目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项，总额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4956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万元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破格获批国家级博士后工作站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和国家自然科学基金依托单位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自主申报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获批国家级人才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人，成为重庆市100余家新型研发机构中首个在渝申报推荐获批国家级人才的单位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并获批建设重庆市海智工作站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ISO9001质量体系认证及武器装备科研生产单位二级保密资质已获批准；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依托研究院成立的明月湖·紫丁香科创园陆续获批重庆市级众创空间、重庆市中小企业公共服务示范平台、重庆市级小企业创业基地、重庆市知识产权示范基地、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重庆市级创业孵化基地、重庆市工业设计赋能中小企业公共服务平台、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两江新区众创空间、两江新区国家海外人才离岸创新创业基地、渝北区创业孵化基地等荣誉资质，并通过“双百计划”（100万元/年，5年支持100家企业）、“双高计划”（重点支持高质量、高水平发展潜力的企业）、“四航计划”（领航、启航、护航、竞航，企业三年高质量提升），孵化科技型企业100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余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家，年产值过亿元，其中重庆科技型企业入库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家，成为研究院实现产业孵化、科技成果转化、双创人才培养的重要载体。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重庆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研究院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将以习近平总书记致哈尔滨工业大学建校百年贺信精神为引领，在重庆市两江管委会和学校的指导下，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按照"两年打基础、三年上台阶、五年见成效"发展规划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不断夯实基础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加快探索建设企业化管理、市场化运行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新型研发机构，努力为学校和地方的发展做出贡献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4NzQyYTYwMTk2YzJhNDEzY2JlN2ViZjhiN2U2NGIifQ=="/>
  </w:docVars>
  <w:rsids>
    <w:rsidRoot w:val="00013914"/>
    <w:rsid w:val="00013914"/>
    <w:rsid w:val="001E37CB"/>
    <w:rsid w:val="004444D5"/>
    <w:rsid w:val="004E3250"/>
    <w:rsid w:val="004F5A97"/>
    <w:rsid w:val="006F02FC"/>
    <w:rsid w:val="00742176"/>
    <w:rsid w:val="00783C10"/>
    <w:rsid w:val="00823FF9"/>
    <w:rsid w:val="00A3715E"/>
    <w:rsid w:val="00B008F4"/>
    <w:rsid w:val="00C26CED"/>
    <w:rsid w:val="00DB7414"/>
    <w:rsid w:val="00E5247E"/>
    <w:rsid w:val="00FF0DD1"/>
    <w:rsid w:val="037450A5"/>
    <w:rsid w:val="17672B87"/>
    <w:rsid w:val="20B873AB"/>
    <w:rsid w:val="25D91051"/>
    <w:rsid w:val="2B085BA8"/>
    <w:rsid w:val="2F677243"/>
    <w:rsid w:val="31B77F20"/>
    <w:rsid w:val="3569376C"/>
    <w:rsid w:val="386C14A1"/>
    <w:rsid w:val="396A7351"/>
    <w:rsid w:val="73135470"/>
    <w:rsid w:val="77EA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200" w:leftChars="200"/>
    </w:pPr>
  </w:style>
  <w:style w:type="paragraph" w:styleId="3">
    <w:name w:val="Body Text"/>
    <w:basedOn w:val="1"/>
    <w:next w:val="1"/>
    <w:autoRedefine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32"/>
      <w:szCs w:val="32"/>
      <w:lang w:eastAsia="en-US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autoRedefine/>
    <w:unhideWhenUsed/>
    <w:qFormat/>
    <w:uiPriority w:val="39"/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autoRedefine/>
    <w:qFormat/>
    <w:uiPriority w:val="99"/>
    <w:rPr>
      <w:rFonts w:eastAsia="仿宋"/>
      <w:sz w:val="18"/>
      <w:szCs w:val="18"/>
    </w:rPr>
  </w:style>
  <w:style w:type="character" w:customStyle="1" w:styleId="11">
    <w:name w:val="页脚 字符"/>
    <w:basedOn w:val="9"/>
    <w:link w:val="4"/>
    <w:autoRedefine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650</Characters>
  <Lines>5</Lines>
  <Paragraphs>1</Paragraphs>
  <TotalTime>28</TotalTime>
  <ScaleCrop>false</ScaleCrop>
  <LinksUpToDate>false</LinksUpToDate>
  <CharactersWithSpaces>762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2024-02-29T06:37:00Z</dcterms:created>
  <dc:creator>LENOVO</dc:creator>
  <cp:lastModifiedBy>Roue</cp:lastModifiedBy>
  <dcterms:modified xsi:type="dcterms:W3CDTF">2024-03-07T01:03:04Z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FBB2017B624D4C8FAB2927D72D6D97B8_13</vt:lpwstr>
  </property>
</Properties>
</file>