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D0148">
      <w:pPr>
        <w:ind w:firstLine="261"/>
        <w:jc w:val="both"/>
        <w:rPr>
          <w:rFonts w:hint="eastAsia" w:ascii="方正小标宋_GBK" w:hAnsi="方正小标宋_GBK" w:eastAsia="方正小标宋_GBK" w:cs="方正小标宋_GBK"/>
          <w:kern w:val="0"/>
          <w:sz w:val="28"/>
          <w:szCs w:val="28"/>
          <w:lang w:val="en-US" w:eastAsia="zh-CN"/>
        </w:rPr>
      </w:pPr>
      <w:r>
        <w:rPr>
          <w:rFonts w:hint="eastAsia" w:ascii="方正小标宋_GBK" w:hAnsi="方正小标宋_GBK" w:eastAsia="方正小标宋_GBK" w:cs="方正小标宋_GBK"/>
          <w:kern w:val="0"/>
          <w:sz w:val="28"/>
          <w:szCs w:val="28"/>
          <w:lang w:val="en-US" w:eastAsia="zh-CN"/>
        </w:rPr>
        <w:t>附件1</w:t>
      </w:r>
    </w:p>
    <w:p w14:paraId="29CBFA35">
      <w:pPr>
        <w:keepNext w:val="0"/>
        <w:keepLines w:val="0"/>
        <w:pageBreakBefore w:val="0"/>
        <w:kinsoku/>
        <w:wordWrap/>
        <w:overflowPunct/>
        <w:topLinePunct w:val="0"/>
        <w:autoSpaceDE/>
        <w:autoSpaceDN/>
        <w:bidi w:val="0"/>
        <w:adjustRightInd/>
        <w:snapToGrid/>
        <w:spacing w:line="560" w:lineRule="exact"/>
        <w:ind w:firstLine="261"/>
        <w:jc w:val="center"/>
        <w:textAlignment w:val="auto"/>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rPr>
        <w:t>固态电池离子输运机制</w:t>
      </w:r>
      <w:r>
        <w:rPr>
          <w:rFonts w:hint="eastAsia" w:ascii="方正小标宋_GBK" w:hAnsi="方正小标宋_GBK" w:eastAsia="方正小标宋_GBK" w:cs="方正小标宋_GBK"/>
          <w:kern w:val="0"/>
          <w:sz w:val="44"/>
          <w:szCs w:val="44"/>
          <w:lang w:eastAsia="zh-CN"/>
        </w:rPr>
        <w:t>及关键材料</w:t>
      </w:r>
      <w:bookmarkStart w:id="0" w:name="_GoBack"/>
      <w:bookmarkEnd w:id="0"/>
      <w:r>
        <w:rPr>
          <w:rFonts w:hint="eastAsia" w:ascii="方正小标宋_GBK" w:hAnsi="方正小标宋_GBK" w:eastAsia="方正小标宋_GBK" w:cs="方正小标宋_GBK"/>
          <w:kern w:val="0"/>
          <w:sz w:val="44"/>
          <w:szCs w:val="44"/>
        </w:rPr>
        <w:t>研究</w:t>
      </w:r>
      <w:r>
        <w:rPr>
          <w:rFonts w:hint="eastAsia" w:ascii="方正小标宋_GBK" w:hAnsi="方正小标宋_GBK" w:eastAsia="方正小标宋_GBK" w:cs="方正小标宋_GBK"/>
          <w:kern w:val="0"/>
          <w:sz w:val="44"/>
          <w:szCs w:val="44"/>
          <w:lang w:val="en-US" w:eastAsia="zh-CN"/>
        </w:rPr>
        <w:t>项目公示材料</w:t>
      </w:r>
    </w:p>
    <w:tbl>
      <w:tblPr>
        <w:tblStyle w:val="6"/>
        <w:tblpPr w:leftFromText="180" w:rightFromText="180" w:vertAnchor="text" w:horzAnchor="margin" w:tblpXSpec="center" w:tblpY="1036"/>
        <w:tblOverlap w:val="never"/>
        <w:tblW w:w="1024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142" w:type="dxa"/>
        </w:tblCellMar>
      </w:tblPr>
      <w:tblGrid>
        <w:gridCol w:w="2046"/>
        <w:gridCol w:w="8199"/>
      </w:tblGrid>
      <w:tr w14:paraId="7B569344">
        <w:tblPrEx>
          <w:tblLayout w:type="fixed"/>
        </w:tblPrEx>
        <w:trPr>
          <w:trHeight w:val="571" w:hRule="atLeast"/>
        </w:trPr>
        <w:tc>
          <w:tcPr>
            <w:tcW w:w="2046" w:type="dxa"/>
            <w:tcBorders>
              <w:top w:val="single" w:color="000000" w:sz="6" w:space="0"/>
            </w:tcBorders>
            <w:vAlign w:val="center"/>
          </w:tcPr>
          <w:p w14:paraId="3A671E2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cs="宋体"/>
                <w:b/>
                <w:bCs/>
                <w:kern w:val="0"/>
                <w:sz w:val="24"/>
              </w:rPr>
            </w:pPr>
            <w:r>
              <w:rPr>
                <w:rFonts w:hint="eastAsia"/>
                <w:b/>
                <w:bCs/>
                <w:sz w:val="24"/>
              </w:rPr>
              <w:t>项目</w:t>
            </w:r>
            <w:r>
              <w:rPr>
                <w:rFonts w:hint="eastAsia" w:ascii="宋体" w:hAnsi="宋体" w:cs="宋体"/>
                <w:b/>
                <w:bCs/>
                <w:kern w:val="0"/>
                <w:sz w:val="24"/>
              </w:rPr>
              <w:t>名称</w:t>
            </w:r>
          </w:p>
        </w:tc>
        <w:tc>
          <w:tcPr>
            <w:tcW w:w="8199" w:type="dxa"/>
            <w:tcBorders>
              <w:top w:val="single" w:color="000000" w:sz="6" w:space="0"/>
            </w:tcBorders>
            <w:vAlign w:val="center"/>
          </w:tcPr>
          <w:p w14:paraId="2598F3F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kern w:val="0"/>
                <w:sz w:val="24"/>
              </w:rPr>
            </w:pPr>
            <w:r>
              <w:rPr>
                <w:rFonts w:hint="eastAsia" w:ascii="宋体" w:hAnsi="宋体" w:eastAsia="宋体"/>
                <w:kern w:val="0"/>
                <w:sz w:val="24"/>
              </w:rPr>
              <w:t>固态电池</w:t>
            </w:r>
            <w:r>
              <w:rPr>
                <w:rFonts w:hint="eastAsia" w:ascii="宋体" w:hAnsi="宋体" w:eastAsia="宋体"/>
                <w:kern w:val="0"/>
                <w:sz w:val="24"/>
                <w:lang w:eastAsia="zh-CN"/>
              </w:rPr>
              <w:t>离子</w:t>
            </w:r>
            <w:r>
              <w:rPr>
                <w:rFonts w:hint="eastAsia" w:ascii="宋体" w:hAnsi="宋体" w:eastAsia="宋体"/>
                <w:kern w:val="0"/>
                <w:sz w:val="24"/>
              </w:rPr>
              <w:t>输运机制</w:t>
            </w:r>
            <w:r>
              <w:rPr>
                <w:rFonts w:hint="eastAsia" w:ascii="宋体" w:hAnsi="宋体" w:eastAsia="宋体"/>
                <w:kern w:val="0"/>
                <w:sz w:val="24"/>
                <w:lang w:eastAsia="zh-CN"/>
              </w:rPr>
              <w:t>及关键材料</w:t>
            </w:r>
            <w:r>
              <w:rPr>
                <w:rFonts w:hint="eastAsia" w:ascii="宋体" w:hAnsi="宋体" w:eastAsia="宋体"/>
                <w:kern w:val="0"/>
                <w:sz w:val="24"/>
              </w:rPr>
              <w:t>研究</w:t>
            </w:r>
          </w:p>
        </w:tc>
      </w:tr>
      <w:tr w14:paraId="5F53B9A5">
        <w:tblPrEx>
          <w:tblLayout w:type="fixed"/>
        </w:tblPrEx>
        <w:trPr>
          <w:trHeight w:val="571" w:hRule="atLeast"/>
        </w:trPr>
        <w:tc>
          <w:tcPr>
            <w:tcW w:w="2046" w:type="dxa"/>
            <w:tcBorders>
              <w:top w:val="single" w:color="000000" w:sz="6" w:space="0"/>
            </w:tcBorders>
            <w:vAlign w:val="center"/>
          </w:tcPr>
          <w:p w14:paraId="20771F0E">
            <w:pPr>
              <w:widowControl/>
              <w:spacing w:line="360" w:lineRule="auto"/>
              <w:jc w:val="left"/>
              <w:rPr>
                <w:b/>
                <w:bCs/>
                <w:sz w:val="24"/>
              </w:rPr>
            </w:pPr>
            <w:r>
              <w:rPr>
                <w:rFonts w:hint="eastAsia" w:ascii="宋体" w:hAnsi="宋体"/>
                <w:b/>
                <w:bCs/>
                <w:kern w:val="0"/>
                <w:sz w:val="24"/>
              </w:rPr>
              <w:t>提名奖种</w:t>
            </w:r>
          </w:p>
        </w:tc>
        <w:tc>
          <w:tcPr>
            <w:tcW w:w="8199" w:type="dxa"/>
            <w:tcBorders>
              <w:top w:val="single" w:color="000000" w:sz="6" w:space="0"/>
            </w:tcBorders>
            <w:vAlign w:val="center"/>
          </w:tcPr>
          <w:p w14:paraId="172C9847">
            <w:pPr>
              <w:widowControl/>
              <w:spacing w:line="360" w:lineRule="auto"/>
              <w:jc w:val="left"/>
              <w:rPr>
                <w:rFonts w:hint="eastAsia" w:ascii="宋体" w:hAnsi="宋体" w:eastAsia="宋体"/>
                <w:kern w:val="0"/>
                <w:sz w:val="24"/>
              </w:rPr>
            </w:pPr>
            <w:r>
              <w:rPr>
                <w:rFonts w:hint="eastAsia" w:ascii="宋体" w:hAnsi="宋体" w:eastAsia="宋体"/>
                <w:kern w:val="0"/>
                <w:sz w:val="24"/>
              </w:rPr>
              <w:t>重庆市自然科学奖一等奖</w:t>
            </w:r>
          </w:p>
        </w:tc>
      </w:tr>
      <w:tr w14:paraId="2F9733E2">
        <w:tblPrEx>
          <w:tblLayout w:type="fixed"/>
        </w:tblPrEx>
        <w:trPr>
          <w:trHeight w:val="571" w:hRule="atLeast"/>
        </w:trPr>
        <w:tc>
          <w:tcPr>
            <w:tcW w:w="2046" w:type="dxa"/>
            <w:tcBorders>
              <w:top w:val="single" w:color="000000" w:sz="6" w:space="0"/>
            </w:tcBorders>
            <w:vAlign w:val="center"/>
          </w:tcPr>
          <w:p w14:paraId="63252894">
            <w:pPr>
              <w:widowControl/>
              <w:spacing w:line="360" w:lineRule="auto"/>
              <w:jc w:val="left"/>
              <w:rPr>
                <w:b/>
                <w:bCs/>
                <w:sz w:val="24"/>
              </w:rPr>
            </w:pPr>
            <w:r>
              <w:rPr>
                <w:rFonts w:hint="eastAsia" w:ascii="宋体" w:hAnsi="宋体"/>
                <w:b/>
                <w:bCs/>
                <w:kern w:val="0"/>
                <w:sz w:val="24"/>
              </w:rPr>
              <w:t>提名单位（专家）</w:t>
            </w:r>
          </w:p>
        </w:tc>
        <w:tc>
          <w:tcPr>
            <w:tcW w:w="8199" w:type="dxa"/>
            <w:tcBorders>
              <w:top w:val="single" w:color="000000" w:sz="6" w:space="0"/>
            </w:tcBorders>
            <w:vAlign w:val="center"/>
          </w:tcPr>
          <w:p w14:paraId="19B3F634">
            <w:pPr>
              <w:widowControl/>
              <w:spacing w:line="360" w:lineRule="auto"/>
              <w:jc w:val="left"/>
              <w:rPr>
                <w:rFonts w:hint="eastAsia" w:ascii="宋体" w:hAnsi="宋体" w:eastAsia="宋体"/>
                <w:kern w:val="0"/>
                <w:sz w:val="24"/>
              </w:rPr>
            </w:pPr>
            <w:r>
              <w:rPr>
                <w:rFonts w:hint="eastAsia" w:ascii="宋体" w:hAnsi="宋体" w:eastAsia="宋体"/>
                <w:kern w:val="0"/>
                <w:sz w:val="24"/>
              </w:rPr>
              <w:t>重庆两江新区科技创新局</w:t>
            </w:r>
          </w:p>
        </w:tc>
      </w:tr>
      <w:tr w14:paraId="44DBE380">
        <w:tblPrEx>
          <w:tblLayout w:type="fixed"/>
        </w:tblPrEx>
        <w:trPr>
          <w:trHeight w:val="683" w:hRule="atLeast"/>
        </w:trPr>
        <w:tc>
          <w:tcPr>
            <w:tcW w:w="2046" w:type="dxa"/>
            <w:vAlign w:val="center"/>
          </w:tcPr>
          <w:p w14:paraId="5A405F28">
            <w:pPr>
              <w:widowControl/>
              <w:spacing w:line="360" w:lineRule="auto"/>
              <w:jc w:val="left"/>
              <w:rPr>
                <w:rFonts w:hint="eastAsia" w:ascii="宋体" w:hAnsi="宋体"/>
                <w:b/>
                <w:bCs/>
                <w:kern w:val="0"/>
                <w:sz w:val="24"/>
              </w:rPr>
            </w:pPr>
            <w:r>
              <w:rPr>
                <w:rFonts w:hint="eastAsia" w:ascii="宋体" w:hAnsi="宋体"/>
                <w:b/>
                <w:bCs/>
                <w:kern w:val="0"/>
                <w:sz w:val="24"/>
              </w:rPr>
              <w:t>完成单位</w:t>
            </w:r>
          </w:p>
        </w:tc>
        <w:tc>
          <w:tcPr>
            <w:tcW w:w="8199" w:type="dxa"/>
            <w:vAlign w:val="center"/>
          </w:tcPr>
          <w:p w14:paraId="549272F0">
            <w:pPr>
              <w:widowControl/>
              <w:spacing w:line="360" w:lineRule="auto"/>
              <w:jc w:val="left"/>
              <w:rPr>
                <w:rFonts w:hint="eastAsia" w:ascii="宋体" w:hAnsi="宋体"/>
                <w:kern w:val="0"/>
                <w:sz w:val="24"/>
              </w:rPr>
            </w:pPr>
            <w:r>
              <w:rPr>
                <w:rFonts w:hint="eastAsia" w:ascii="宋体" w:hAnsi="宋体" w:eastAsia="宋体"/>
                <w:kern w:val="0"/>
                <w:sz w:val="24"/>
              </w:rPr>
              <w:t>哈尔滨工业大学重庆研究院，重庆太蓝新能源有限公司</w:t>
            </w:r>
          </w:p>
        </w:tc>
      </w:tr>
      <w:tr w14:paraId="33D5CFDF">
        <w:tblPrEx>
          <w:tblLayout w:type="fixed"/>
        </w:tblPrEx>
        <w:trPr>
          <w:trHeight w:val="626" w:hRule="atLeast"/>
        </w:trPr>
        <w:tc>
          <w:tcPr>
            <w:tcW w:w="2046" w:type="dxa"/>
            <w:vAlign w:val="center"/>
          </w:tcPr>
          <w:p w14:paraId="09FF8E75">
            <w:pPr>
              <w:widowControl/>
              <w:spacing w:line="360" w:lineRule="auto"/>
              <w:jc w:val="left"/>
              <w:rPr>
                <w:rFonts w:hint="eastAsia" w:ascii="宋体" w:hAnsi="宋体" w:eastAsia="宋体"/>
                <w:b/>
                <w:bCs/>
                <w:kern w:val="0"/>
                <w:sz w:val="24"/>
                <w:highlight w:val="none"/>
              </w:rPr>
            </w:pPr>
            <w:r>
              <w:rPr>
                <w:rFonts w:hint="eastAsia" w:ascii="宋体" w:hAnsi="宋体"/>
                <w:b/>
                <w:bCs/>
                <w:kern w:val="0"/>
                <w:sz w:val="24"/>
                <w:highlight w:val="none"/>
              </w:rPr>
              <w:t>完成人及其贡献</w:t>
            </w:r>
          </w:p>
        </w:tc>
        <w:tc>
          <w:tcPr>
            <w:tcW w:w="8199" w:type="dxa"/>
            <w:vAlign w:val="center"/>
          </w:tcPr>
          <w:p w14:paraId="44AF348D">
            <w:pPr>
              <w:widowControl/>
              <w:spacing w:line="360" w:lineRule="auto"/>
              <w:jc w:val="left"/>
              <w:rPr>
                <w:rFonts w:hint="eastAsia" w:ascii="宋体" w:hAnsi="宋体" w:eastAsia="宋体"/>
                <w:kern w:val="0"/>
                <w:sz w:val="24"/>
                <w:highlight w:val="none"/>
              </w:rPr>
            </w:pPr>
            <w:r>
              <w:rPr>
                <w:rFonts w:hint="eastAsia" w:ascii="宋体" w:hAnsi="宋体" w:eastAsia="宋体"/>
                <w:kern w:val="0"/>
                <w:sz w:val="24"/>
                <w:highlight w:val="none"/>
              </w:rPr>
              <w:t>王家钧，娄帅锋，刘青松，高翔</w:t>
            </w:r>
          </w:p>
        </w:tc>
      </w:tr>
      <w:tr w14:paraId="1C2B71A5">
        <w:tblPrEx>
          <w:tblLayout w:type="fixed"/>
        </w:tblPrEx>
        <w:trPr>
          <w:trHeight w:val="626" w:hRule="atLeast"/>
        </w:trPr>
        <w:tc>
          <w:tcPr>
            <w:tcW w:w="2046" w:type="dxa"/>
            <w:vAlign w:val="center"/>
          </w:tcPr>
          <w:p w14:paraId="1123BADD">
            <w:pPr>
              <w:widowControl/>
              <w:spacing w:line="360" w:lineRule="auto"/>
              <w:jc w:val="left"/>
              <w:rPr>
                <w:rFonts w:hint="eastAsia" w:ascii="宋体" w:hAnsi="宋体"/>
                <w:b/>
                <w:bCs/>
                <w:kern w:val="0"/>
                <w:sz w:val="24"/>
              </w:rPr>
            </w:pPr>
            <w:r>
              <w:rPr>
                <w:rFonts w:hint="eastAsia" w:ascii="宋体" w:hAnsi="宋体"/>
                <w:b/>
                <w:bCs/>
                <w:kern w:val="0"/>
                <w:sz w:val="24"/>
              </w:rPr>
              <w:t>项目简介</w:t>
            </w:r>
          </w:p>
          <w:p w14:paraId="5C5F2E06">
            <w:pPr>
              <w:widowControl/>
              <w:spacing w:line="360" w:lineRule="auto"/>
              <w:jc w:val="left"/>
              <w:rPr>
                <w:rFonts w:hint="eastAsia" w:ascii="宋体" w:hAnsi="宋体"/>
                <w:b/>
                <w:bCs/>
                <w:kern w:val="0"/>
                <w:sz w:val="24"/>
              </w:rPr>
            </w:pPr>
          </w:p>
        </w:tc>
        <w:tc>
          <w:tcPr>
            <w:tcW w:w="8199" w:type="dxa"/>
            <w:vAlign w:val="center"/>
          </w:tcPr>
          <w:p w14:paraId="0BF4FC4A">
            <w:pPr>
              <w:widowControl/>
              <w:spacing w:line="360" w:lineRule="auto"/>
              <w:jc w:val="left"/>
              <w:rPr>
                <w:rFonts w:hint="eastAsia" w:ascii="宋体" w:hAnsi="宋体" w:eastAsia="宋体"/>
                <w:kern w:val="0"/>
                <w:sz w:val="24"/>
              </w:rPr>
            </w:pPr>
            <w:r>
              <w:rPr>
                <w:rFonts w:hint="eastAsia" w:ascii="宋体" w:hAnsi="宋体" w:eastAsia="宋体"/>
                <w:kern w:val="0"/>
                <w:sz w:val="24"/>
              </w:rPr>
              <w:t>固态电池技术是国家中长期科技发展规划的重点方向。然而，由于离子传输</w:t>
            </w:r>
            <w:r>
              <w:rPr>
                <w:rFonts w:hint="eastAsia" w:ascii="宋体" w:hAnsi="宋体" w:eastAsia="宋体"/>
                <w:kern w:val="0"/>
                <w:sz w:val="24"/>
              </w:rPr>
              <w:cr/>
            </w:r>
            <w:r>
              <w:rPr>
                <w:rFonts w:hint="eastAsia" w:ascii="宋体" w:hAnsi="宋体" w:eastAsia="宋体"/>
                <w:kern w:val="0"/>
                <w:sz w:val="24"/>
              </w:rPr>
              <w:t>动力学困难、电极界面稳定性差和电化学储能机理不明晰等挑战，固态电池普遍存在“充电慢、安全差、寿命短”等问题，制约了固态电池的发展。基于此，本项目发展了固态电池服役工况下的多模态无损诊断方法，发现了固态电池材料内部异质性相分布和配位结构畸变对离子传输的限制机制，提出了新型固态电池电极结构设计理论，推动了下一代“快充电、高安全、长寿命”固态电池技术的发展。</w:t>
            </w:r>
          </w:p>
        </w:tc>
      </w:tr>
      <w:tr w14:paraId="3A133D08">
        <w:tblPrEx>
          <w:tblLayout w:type="fixed"/>
        </w:tblPrEx>
        <w:trPr>
          <w:trHeight w:val="626" w:hRule="atLeast"/>
        </w:trPr>
        <w:tc>
          <w:tcPr>
            <w:tcW w:w="10245" w:type="dxa"/>
            <w:gridSpan w:val="2"/>
            <w:vAlign w:val="center"/>
          </w:tcPr>
          <w:p w14:paraId="0CB9D506">
            <w:pPr>
              <w:widowControl/>
              <w:spacing w:line="360" w:lineRule="auto"/>
              <w:jc w:val="left"/>
              <w:rPr>
                <w:rFonts w:hint="eastAsia" w:ascii="宋体" w:hAnsi="宋体"/>
                <w:b/>
                <w:bCs/>
                <w:kern w:val="0"/>
                <w:sz w:val="24"/>
              </w:rPr>
            </w:pPr>
            <w:r>
              <w:rPr>
                <w:rFonts w:hint="eastAsia" w:ascii="宋体" w:hAnsi="宋体"/>
                <w:b/>
                <w:bCs/>
                <w:kern w:val="0"/>
                <w:sz w:val="24"/>
              </w:rPr>
              <w:t>主要知识产权及代表性论文专著等目录</w:t>
            </w:r>
          </w:p>
          <w:p w14:paraId="5662A91C">
            <w:pPr>
              <w:widowControl/>
              <w:spacing w:line="360" w:lineRule="auto"/>
              <w:jc w:val="left"/>
              <w:rPr>
                <w:rFonts w:hint="eastAsia" w:ascii="宋体" w:hAnsi="宋体"/>
                <w:b/>
                <w:bCs/>
                <w:kern w:val="0"/>
                <w:sz w:val="24"/>
              </w:rPr>
            </w:pPr>
          </w:p>
          <w:tbl>
            <w:tblPr>
              <w:tblStyle w:val="6"/>
              <w:tblW w:w="9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6209"/>
              <w:gridCol w:w="1275"/>
              <w:gridCol w:w="993"/>
              <w:gridCol w:w="992"/>
            </w:tblGrid>
            <w:tr w14:paraId="7C3541F0">
              <w:tblPrEx>
                <w:tblLayout w:type="fixed"/>
              </w:tblPrEx>
              <w:trPr>
                <w:trHeight w:val="877" w:hRule="atLeast"/>
              </w:trPr>
              <w:tc>
                <w:tcPr>
                  <w:tcW w:w="462" w:type="dxa"/>
                  <w:vAlign w:val="center"/>
                </w:tcPr>
                <w:p w14:paraId="6B0B8D5F">
                  <w:pPr>
                    <w:jc w:val="center"/>
                    <w:rPr>
                      <w:rFonts w:ascii="宋体" w:hAnsi="宋体"/>
                      <w:color w:val="000000"/>
                      <w:sz w:val="24"/>
                    </w:rPr>
                  </w:pPr>
                  <w:r>
                    <w:rPr>
                      <w:rFonts w:ascii="宋体" w:hAnsi="宋体"/>
                      <w:color w:val="000000"/>
                      <w:sz w:val="24"/>
                    </w:rPr>
                    <w:t>序号</w:t>
                  </w:r>
                </w:p>
              </w:tc>
              <w:tc>
                <w:tcPr>
                  <w:tcW w:w="6209" w:type="dxa"/>
                  <w:vAlign w:val="center"/>
                </w:tcPr>
                <w:p w14:paraId="2F74D44F">
                  <w:pPr>
                    <w:autoSpaceDE w:val="0"/>
                    <w:autoSpaceDN w:val="0"/>
                    <w:adjustRightInd w:val="0"/>
                    <w:jc w:val="center"/>
                    <w:rPr>
                      <w:rFonts w:ascii="宋体" w:hAnsi="宋体"/>
                      <w:color w:val="000000"/>
                      <w:kern w:val="0"/>
                      <w:sz w:val="24"/>
                    </w:rPr>
                  </w:pPr>
                  <w:r>
                    <w:rPr>
                      <w:rFonts w:ascii="宋体" w:hAnsi="宋体"/>
                      <w:color w:val="000000"/>
                      <w:kern w:val="0"/>
                      <w:sz w:val="24"/>
                    </w:rPr>
                    <w:t>论文</w:t>
                  </w:r>
                  <w:r>
                    <w:rPr>
                      <w:rFonts w:hint="eastAsia" w:ascii="宋体" w:hAnsi="宋体"/>
                      <w:color w:val="000000"/>
                      <w:kern w:val="0"/>
                      <w:sz w:val="24"/>
                    </w:rPr>
                    <w:t>、专著</w:t>
                  </w:r>
                  <w:r>
                    <w:rPr>
                      <w:rFonts w:ascii="宋体" w:hAnsi="宋体"/>
                      <w:color w:val="000000"/>
                      <w:kern w:val="0"/>
                      <w:sz w:val="24"/>
                    </w:rPr>
                    <w:t>名称/刊名</w:t>
                  </w:r>
                </w:p>
              </w:tc>
              <w:tc>
                <w:tcPr>
                  <w:tcW w:w="1275" w:type="dxa"/>
                  <w:vAlign w:val="center"/>
                </w:tcPr>
                <w:p w14:paraId="69406D00">
                  <w:pPr>
                    <w:autoSpaceDE w:val="0"/>
                    <w:autoSpaceDN w:val="0"/>
                    <w:adjustRightInd w:val="0"/>
                    <w:jc w:val="center"/>
                    <w:rPr>
                      <w:rFonts w:hint="eastAsia" w:ascii="宋体" w:hAnsi="宋体"/>
                      <w:color w:val="000000"/>
                      <w:kern w:val="0"/>
                      <w:sz w:val="24"/>
                    </w:rPr>
                  </w:pPr>
                  <w:r>
                    <w:rPr>
                      <w:rFonts w:hint="eastAsia" w:ascii="宋体" w:hAnsi="宋体"/>
                      <w:color w:val="000000"/>
                      <w:kern w:val="0"/>
                      <w:sz w:val="24"/>
                    </w:rPr>
                    <w:t>发表时间</w:t>
                  </w:r>
                </w:p>
                <w:p w14:paraId="3AD3437B">
                  <w:pPr>
                    <w:autoSpaceDE w:val="0"/>
                    <w:autoSpaceDN w:val="0"/>
                    <w:adjustRightInd w:val="0"/>
                    <w:jc w:val="center"/>
                    <w:rPr>
                      <w:rFonts w:hint="eastAsia" w:ascii="宋体" w:hAnsi="宋体"/>
                      <w:color w:val="000000"/>
                      <w:kern w:val="0"/>
                      <w:sz w:val="24"/>
                    </w:rPr>
                  </w:pPr>
                  <w:r>
                    <w:rPr>
                      <w:rFonts w:hint="eastAsia" w:ascii="宋体" w:hAnsi="宋体"/>
                      <w:color w:val="000000"/>
                      <w:kern w:val="0"/>
                      <w:sz w:val="24"/>
                    </w:rPr>
                    <w:t>年 月 日</w:t>
                  </w:r>
                </w:p>
              </w:tc>
              <w:tc>
                <w:tcPr>
                  <w:tcW w:w="993" w:type="dxa"/>
                  <w:vAlign w:val="center"/>
                </w:tcPr>
                <w:p w14:paraId="5B078B6A">
                  <w:pPr>
                    <w:autoSpaceDE w:val="0"/>
                    <w:autoSpaceDN w:val="0"/>
                    <w:adjustRightInd w:val="0"/>
                    <w:jc w:val="center"/>
                    <w:rPr>
                      <w:rFonts w:ascii="宋体" w:hAnsi="宋体"/>
                      <w:color w:val="000000"/>
                      <w:kern w:val="0"/>
                      <w:sz w:val="24"/>
                    </w:rPr>
                  </w:pPr>
                  <w:r>
                    <w:rPr>
                      <w:rFonts w:ascii="宋体" w:hAnsi="宋体"/>
                      <w:color w:val="000000"/>
                      <w:kern w:val="0"/>
                      <w:sz w:val="24"/>
                    </w:rPr>
                    <w:t>是否国内完成</w:t>
                  </w:r>
                </w:p>
              </w:tc>
              <w:tc>
                <w:tcPr>
                  <w:tcW w:w="992" w:type="dxa"/>
                  <w:vAlign w:val="center"/>
                </w:tcPr>
                <w:p w14:paraId="44EE729F">
                  <w:pPr>
                    <w:autoSpaceDE w:val="0"/>
                    <w:autoSpaceDN w:val="0"/>
                    <w:adjustRightInd w:val="0"/>
                    <w:jc w:val="center"/>
                    <w:rPr>
                      <w:rFonts w:ascii="宋体" w:hAnsi="宋体"/>
                      <w:color w:val="000000"/>
                      <w:kern w:val="0"/>
                      <w:sz w:val="24"/>
                    </w:rPr>
                  </w:pPr>
                  <w:r>
                    <w:rPr>
                      <w:rFonts w:hint="eastAsia" w:ascii="宋体" w:hAnsi="宋体"/>
                      <w:color w:val="000000"/>
                      <w:kern w:val="0"/>
                      <w:sz w:val="24"/>
                    </w:rPr>
                    <w:t>通讯</w:t>
                  </w:r>
                </w:p>
                <w:p w14:paraId="3A006044">
                  <w:pPr>
                    <w:autoSpaceDE w:val="0"/>
                    <w:autoSpaceDN w:val="0"/>
                    <w:adjustRightInd w:val="0"/>
                    <w:jc w:val="center"/>
                    <w:rPr>
                      <w:rFonts w:hint="eastAsia" w:ascii="宋体" w:hAnsi="宋体"/>
                      <w:color w:val="000000"/>
                      <w:kern w:val="0"/>
                      <w:sz w:val="24"/>
                    </w:rPr>
                  </w:pPr>
                  <w:r>
                    <w:rPr>
                      <w:rFonts w:hint="eastAsia" w:ascii="宋体" w:hAnsi="宋体"/>
                      <w:color w:val="000000"/>
                      <w:kern w:val="0"/>
                      <w:sz w:val="24"/>
                    </w:rPr>
                    <w:t>作者</w:t>
                  </w:r>
                </w:p>
              </w:tc>
            </w:tr>
            <w:tr w14:paraId="73F01D56">
              <w:tblPrEx>
                <w:tblLayout w:type="fixed"/>
              </w:tblPrEx>
              <w:trPr>
                <w:trHeight w:val="1021" w:hRule="exact"/>
              </w:trPr>
              <w:tc>
                <w:tcPr>
                  <w:tcW w:w="462" w:type="dxa"/>
                  <w:vAlign w:val="center"/>
                </w:tcPr>
                <w:p w14:paraId="1EB1EF6D">
                  <w:pPr>
                    <w:spacing w:line="360" w:lineRule="auto"/>
                    <w:jc w:val="center"/>
                    <w:rPr>
                      <w:rFonts w:ascii="宋体" w:hAnsi="宋体"/>
                      <w:color w:val="000000"/>
                      <w:sz w:val="24"/>
                    </w:rPr>
                  </w:pPr>
                  <w:r>
                    <w:rPr>
                      <w:rFonts w:hint="eastAsia" w:ascii="宋体" w:hAnsi="宋体"/>
                      <w:color w:val="000000"/>
                      <w:sz w:val="24"/>
                    </w:rPr>
                    <w:t>1</w:t>
                  </w:r>
                </w:p>
              </w:tc>
              <w:tc>
                <w:tcPr>
                  <w:tcW w:w="6209" w:type="dxa"/>
                  <w:vAlign w:val="center"/>
                </w:tcPr>
                <w:p w14:paraId="288A6217">
                  <w:pPr>
                    <w:jc w:val="left"/>
                    <w:rPr>
                      <w:rFonts w:hint="eastAsia" w:ascii="宋体" w:hAnsi="宋体"/>
                      <w:color w:val="000000"/>
                      <w:sz w:val="24"/>
                    </w:rPr>
                  </w:pPr>
                  <w:r>
                    <w:rPr>
                      <w:color w:val="000000"/>
                    </w:rPr>
                    <w:t>Surface</w:t>
                  </w:r>
                  <w:r>
                    <w:rPr>
                      <w:rFonts w:hint="eastAsia"/>
                      <w:color w:val="000000"/>
                    </w:rPr>
                    <w:t xml:space="preserve"> </w:t>
                  </w:r>
                  <w:r>
                    <w:rPr>
                      <w:color w:val="000000"/>
                    </w:rPr>
                    <w:t>regulation enables high stability</w:t>
                  </w:r>
                  <w:r>
                    <w:rPr>
                      <w:rFonts w:hint="eastAsia"/>
                      <w:color w:val="000000"/>
                    </w:rPr>
                    <w:t xml:space="preserve"> </w:t>
                  </w:r>
                  <w:r>
                    <w:rPr>
                      <w:color w:val="000000"/>
                    </w:rPr>
                    <w:t>of single-crystal lithium-ion cathodes at</w:t>
                  </w:r>
                  <w:r>
                    <w:rPr>
                      <w:rFonts w:hint="eastAsia"/>
                      <w:color w:val="000000"/>
                    </w:rPr>
                    <w:t xml:space="preserve"> </w:t>
                  </w:r>
                  <w:r>
                    <w:rPr>
                      <w:color w:val="000000"/>
                    </w:rPr>
                    <w:t>high voltage</w:t>
                  </w:r>
                  <w:r>
                    <w:rPr>
                      <w:rFonts w:hint="eastAsia"/>
                      <w:color w:val="000000"/>
                    </w:rPr>
                    <w:t xml:space="preserve">, </w:t>
                  </w:r>
                  <w:r>
                    <w:rPr>
                      <w:color w:val="000000"/>
                    </w:rPr>
                    <w:t>Nature communications</w:t>
                  </w:r>
                </w:p>
              </w:tc>
              <w:tc>
                <w:tcPr>
                  <w:tcW w:w="1275" w:type="dxa"/>
                  <w:vAlign w:val="center"/>
                </w:tcPr>
                <w:p w14:paraId="06E968A4">
                  <w:pPr>
                    <w:spacing w:line="360" w:lineRule="auto"/>
                    <w:jc w:val="center"/>
                    <w:rPr>
                      <w:rFonts w:hint="eastAsia" w:ascii="宋体" w:hAnsi="宋体"/>
                      <w:color w:val="000000"/>
                      <w:szCs w:val="21"/>
                    </w:rPr>
                  </w:pPr>
                  <w:r>
                    <w:rPr>
                      <w:rFonts w:hint="eastAsia" w:ascii="宋体" w:hAnsi="宋体"/>
                      <w:color w:val="000000"/>
                      <w:szCs w:val="21"/>
                    </w:rPr>
                    <w:t>2020.06.16</w:t>
                  </w:r>
                </w:p>
              </w:tc>
              <w:tc>
                <w:tcPr>
                  <w:tcW w:w="993" w:type="dxa"/>
                  <w:vAlign w:val="center"/>
                </w:tcPr>
                <w:p w14:paraId="13716DFC">
                  <w:pPr>
                    <w:spacing w:line="360" w:lineRule="auto"/>
                    <w:jc w:val="center"/>
                    <w:rPr>
                      <w:rFonts w:ascii="宋体" w:hAnsi="宋体"/>
                      <w:color w:val="000000"/>
                      <w:sz w:val="24"/>
                    </w:rPr>
                  </w:pPr>
                  <w:r>
                    <w:rPr>
                      <w:rFonts w:hint="eastAsia" w:ascii="宋体" w:hAnsi="宋体"/>
                      <w:color w:val="000000"/>
                      <w:sz w:val="24"/>
                    </w:rPr>
                    <w:t>是</w:t>
                  </w:r>
                </w:p>
              </w:tc>
              <w:tc>
                <w:tcPr>
                  <w:tcW w:w="992" w:type="dxa"/>
                  <w:vAlign w:val="center"/>
                </w:tcPr>
                <w:p w14:paraId="1F282641">
                  <w:pPr>
                    <w:spacing w:line="360" w:lineRule="auto"/>
                    <w:jc w:val="center"/>
                    <w:rPr>
                      <w:rFonts w:ascii="宋体" w:hAnsi="宋体"/>
                      <w:color w:val="000000"/>
                      <w:sz w:val="24"/>
                    </w:rPr>
                  </w:pPr>
                  <w:r>
                    <w:rPr>
                      <w:rFonts w:hint="eastAsia" w:ascii="宋体" w:hAnsi="宋体"/>
                      <w:color w:val="000000"/>
                      <w:sz w:val="24"/>
                    </w:rPr>
                    <w:t>王家钧</w:t>
                  </w:r>
                </w:p>
              </w:tc>
            </w:tr>
            <w:tr w14:paraId="3583146C">
              <w:tblPrEx>
                <w:tblLayout w:type="fixed"/>
              </w:tblPrEx>
              <w:trPr>
                <w:trHeight w:val="1021" w:hRule="exact"/>
              </w:trPr>
              <w:tc>
                <w:tcPr>
                  <w:tcW w:w="462" w:type="dxa"/>
                  <w:vAlign w:val="center"/>
                </w:tcPr>
                <w:p w14:paraId="2E53FD50">
                  <w:pPr>
                    <w:spacing w:line="360" w:lineRule="auto"/>
                    <w:jc w:val="center"/>
                    <w:rPr>
                      <w:rFonts w:ascii="宋体" w:hAnsi="宋体"/>
                      <w:color w:val="000000"/>
                      <w:sz w:val="24"/>
                    </w:rPr>
                  </w:pPr>
                  <w:r>
                    <w:rPr>
                      <w:rFonts w:hint="eastAsia" w:ascii="宋体" w:hAnsi="宋体"/>
                      <w:color w:val="000000"/>
                      <w:sz w:val="24"/>
                    </w:rPr>
                    <w:t>2</w:t>
                  </w:r>
                </w:p>
              </w:tc>
              <w:tc>
                <w:tcPr>
                  <w:tcW w:w="6209" w:type="dxa"/>
                  <w:vAlign w:val="center"/>
                </w:tcPr>
                <w:p w14:paraId="6577802A">
                  <w:pPr>
                    <w:jc w:val="left"/>
                    <w:rPr>
                      <w:color w:val="000000"/>
                    </w:rPr>
                  </w:pPr>
                  <w:r>
                    <w:rPr>
                      <w:color w:val="000000"/>
                    </w:rPr>
                    <w:t>Insights into interfacial effect and loca</w:t>
                  </w:r>
                  <w:r>
                    <w:rPr>
                      <w:rFonts w:hint="eastAsia"/>
                      <w:color w:val="000000"/>
                    </w:rPr>
                    <w:t xml:space="preserve">l </w:t>
                  </w:r>
                  <w:r>
                    <w:rPr>
                      <w:color w:val="000000"/>
                    </w:rPr>
                    <w:t>lithium-ion transport in polycrystalline</w:t>
                  </w:r>
                  <w:r>
                    <w:rPr>
                      <w:rFonts w:hint="eastAsia"/>
                      <w:color w:val="000000"/>
                    </w:rPr>
                    <w:t xml:space="preserve"> </w:t>
                  </w:r>
                  <w:r>
                    <w:rPr>
                      <w:color w:val="000000"/>
                    </w:rPr>
                    <w:t>cathodes of solid-state batteries</w:t>
                  </w:r>
                  <w:r>
                    <w:rPr>
                      <w:rFonts w:hint="eastAsia"/>
                      <w:color w:val="000000"/>
                    </w:rPr>
                    <w:t xml:space="preserve">, </w:t>
                  </w:r>
                  <w:r>
                    <w:rPr>
                      <w:color w:val="000000"/>
                    </w:rPr>
                    <w:t>Nature communications</w:t>
                  </w:r>
                </w:p>
              </w:tc>
              <w:tc>
                <w:tcPr>
                  <w:tcW w:w="1275" w:type="dxa"/>
                  <w:vAlign w:val="center"/>
                </w:tcPr>
                <w:p w14:paraId="4598846B">
                  <w:pPr>
                    <w:spacing w:line="360" w:lineRule="auto"/>
                    <w:jc w:val="center"/>
                    <w:rPr>
                      <w:rFonts w:hint="eastAsia" w:ascii="宋体" w:hAnsi="宋体"/>
                      <w:color w:val="000000"/>
                      <w:szCs w:val="21"/>
                    </w:rPr>
                  </w:pPr>
                  <w:r>
                    <w:rPr>
                      <w:rFonts w:hint="eastAsia" w:ascii="宋体" w:hAnsi="宋体"/>
                      <w:color w:val="000000"/>
                      <w:szCs w:val="21"/>
                    </w:rPr>
                    <w:t>2020.11.11</w:t>
                  </w:r>
                </w:p>
              </w:tc>
              <w:tc>
                <w:tcPr>
                  <w:tcW w:w="993" w:type="dxa"/>
                  <w:vAlign w:val="center"/>
                </w:tcPr>
                <w:p w14:paraId="4574ACC1">
                  <w:pPr>
                    <w:spacing w:line="360" w:lineRule="auto"/>
                    <w:jc w:val="center"/>
                    <w:rPr>
                      <w:rFonts w:ascii="宋体" w:hAnsi="宋体"/>
                      <w:color w:val="000000"/>
                      <w:sz w:val="24"/>
                    </w:rPr>
                  </w:pPr>
                  <w:r>
                    <w:rPr>
                      <w:rFonts w:hint="eastAsia" w:ascii="宋体" w:hAnsi="宋体"/>
                      <w:color w:val="000000"/>
                      <w:sz w:val="24"/>
                    </w:rPr>
                    <w:t>是</w:t>
                  </w:r>
                </w:p>
              </w:tc>
              <w:tc>
                <w:tcPr>
                  <w:tcW w:w="992" w:type="dxa"/>
                  <w:vAlign w:val="center"/>
                </w:tcPr>
                <w:p w14:paraId="37C10EBA">
                  <w:pPr>
                    <w:spacing w:line="360" w:lineRule="auto"/>
                    <w:jc w:val="center"/>
                    <w:rPr>
                      <w:rFonts w:ascii="宋体" w:hAnsi="宋体"/>
                      <w:color w:val="000000"/>
                      <w:sz w:val="24"/>
                    </w:rPr>
                  </w:pPr>
                  <w:r>
                    <w:rPr>
                      <w:rFonts w:hint="eastAsia" w:ascii="宋体" w:hAnsi="宋体"/>
                      <w:color w:val="000000"/>
                      <w:sz w:val="24"/>
                    </w:rPr>
                    <w:t>王家钧</w:t>
                  </w:r>
                </w:p>
              </w:tc>
            </w:tr>
            <w:tr w14:paraId="61270C16">
              <w:tblPrEx>
                <w:tblLayout w:type="fixed"/>
              </w:tblPrEx>
              <w:trPr>
                <w:trHeight w:val="1021" w:hRule="exact"/>
              </w:trPr>
              <w:tc>
                <w:tcPr>
                  <w:tcW w:w="462" w:type="dxa"/>
                  <w:vAlign w:val="center"/>
                </w:tcPr>
                <w:p w14:paraId="1BABE5C0">
                  <w:pPr>
                    <w:spacing w:line="360" w:lineRule="auto"/>
                    <w:jc w:val="center"/>
                    <w:rPr>
                      <w:rFonts w:ascii="宋体" w:hAnsi="宋体"/>
                      <w:color w:val="000000"/>
                      <w:sz w:val="24"/>
                    </w:rPr>
                  </w:pPr>
                  <w:r>
                    <w:rPr>
                      <w:rFonts w:hint="eastAsia" w:ascii="宋体" w:hAnsi="宋体"/>
                      <w:color w:val="000000"/>
                      <w:sz w:val="24"/>
                    </w:rPr>
                    <w:t>3</w:t>
                  </w:r>
                </w:p>
              </w:tc>
              <w:tc>
                <w:tcPr>
                  <w:tcW w:w="6209" w:type="dxa"/>
                  <w:vAlign w:val="center"/>
                </w:tcPr>
                <w:p w14:paraId="05EE264C">
                  <w:pPr>
                    <w:jc w:val="left"/>
                    <w:rPr>
                      <w:rFonts w:hint="eastAsia" w:ascii="宋体" w:hAnsi="宋体"/>
                      <w:color w:val="000000"/>
                      <w:sz w:val="24"/>
                    </w:rPr>
                  </w:pPr>
                  <w:r>
                    <w:rPr>
                      <w:color w:val="000000"/>
                    </w:rPr>
                    <w:t>Structural</w:t>
                  </w:r>
                  <w:r>
                    <w:rPr>
                      <w:rFonts w:hint="eastAsia"/>
                      <w:color w:val="000000"/>
                    </w:rPr>
                    <w:t xml:space="preserve"> </w:t>
                  </w:r>
                  <w:r>
                    <w:rPr>
                      <w:color w:val="000000"/>
                    </w:rPr>
                    <w:t>Distortion induced by</w:t>
                  </w:r>
                  <w:r>
                    <w:rPr>
                      <w:rFonts w:hint="eastAsia"/>
                      <w:color w:val="000000"/>
                    </w:rPr>
                    <w:t xml:space="preserve"> </w:t>
                  </w:r>
                  <w:r>
                    <w:rPr>
                      <w:color w:val="000000"/>
                    </w:rPr>
                    <w:t>Manganese Activation in a Lithium-Rich</w:t>
                  </w:r>
                  <w:r>
                    <w:rPr>
                      <w:rFonts w:hint="eastAsia"/>
                      <w:color w:val="000000"/>
                    </w:rPr>
                    <w:t xml:space="preserve"> </w:t>
                  </w:r>
                  <w:r>
                    <w:rPr>
                      <w:color w:val="000000"/>
                    </w:rPr>
                    <w:t>Layered Cathode</w:t>
                  </w:r>
                  <w:r>
                    <w:rPr>
                      <w:rFonts w:hint="eastAsia"/>
                      <w:color w:val="000000"/>
                    </w:rPr>
                    <w:t xml:space="preserve">, </w:t>
                  </w:r>
                  <w:r>
                    <w:rPr>
                      <w:color w:val="000000"/>
                    </w:rPr>
                    <w:t>Journal of the American Chemical Society</w:t>
                  </w:r>
                </w:p>
              </w:tc>
              <w:tc>
                <w:tcPr>
                  <w:tcW w:w="1275" w:type="dxa"/>
                  <w:vAlign w:val="center"/>
                </w:tcPr>
                <w:p w14:paraId="08A8DC90">
                  <w:pPr>
                    <w:spacing w:line="360" w:lineRule="auto"/>
                    <w:jc w:val="center"/>
                    <w:rPr>
                      <w:rFonts w:hint="eastAsia" w:ascii="宋体" w:hAnsi="宋体"/>
                      <w:color w:val="000000"/>
                      <w:szCs w:val="21"/>
                    </w:rPr>
                  </w:pPr>
                  <w:r>
                    <w:rPr>
                      <w:rFonts w:hint="eastAsia" w:ascii="宋体" w:hAnsi="宋体"/>
                      <w:color w:val="000000"/>
                      <w:szCs w:val="21"/>
                    </w:rPr>
                    <w:t>2020.09.02</w:t>
                  </w:r>
                </w:p>
              </w:tc>
              <w:tc>
                <w:tcPr>
                  <w:tcW w:w="993" w:type="dxa"/>
                  <w:vAlign w:val="center"/>
                </w:tcPr>
                <w:p w14:paraId="04F78C83">
                  <w:pPr>
                    <w:spacing w:line="360" w:lineRule="auto"/>
                    <w:jc w:val="center"/>
                    <w:rPr>
                      <w:rFonts w:ascii="宋体" w:hAnsi="宋体"/>
                      <w:color w:val="000000"/>
                      <w:sz w:val="24"/>
                    </w:rPr>
                  </w:pPr>
                  <w:r>
                    <w:rPr>
                      <w:rFonts w:hint="eastAsia" w:ascii="宋体" w:hAnsi="宋体"/>
                      <w:color w:val="000000"/>
                      <w:sz w:val="24"/>
                    </w:rPr>
                    <w:t>是</w:t>
                  </w:r>
                </w:p>
              </w:tc>
              <w:tc>
                <w:tcPr>
                  <w:tcW w:w="992" w:type="dxa"/>
                  <w:vAlign w:val="center"/>
                </w:tcPr>
                <w:p w14:paraId="6427FCE4">
                  <w:pPr>
                    <w:spacing w:line="360" w:lineRule="auto"/>
                    <w:jc w:val="center"/>
                    <w:rPr>
                      <w:rFonts w:ascii="宋体" w:hAnsi="宋体"/>
                      <w:color w:val="000000"/>
                      <w:sz w:val="24"/>
                    </w:rPr>
                  </w:pPr>
                  <w:r>
                    <w:rPr>
                      <w:rFonts w:hint="eastAsia" w:ascii="宋体" w:hAnsi="宋体"/>
                      <w:color w:val="000000"/>
                      <w:sz w:val="24"/>
                    </w:rPr>
                    <w:t>王家钧</w:t>
                  </w:r>
                </w:p>
              </w:tc>
            </w:tr>
            <w:tr w14:paraId="30C0F6CB">
              <w:tblPrEx>
                <w:tblLayout w:type="fixed"/>
              </w:tblPrEx>
              <w:trPr>
                <w:trHeight w:val="1021" w:hRule="exact"/>
              </w:trPr>
              <w:tc>
                <w:tcPr>
                  <w:tcW w:w="462" w:type="dxa"/>
                  <w:vAlign w:val="center"/>
                </w:tcPr>
                <w:p w14:paraId="4F56CDB7">
                  <w:pPr>
                    <w:spacing w:line="360" w:lineRule="auto"/>
                    <w:jc w:val="center"/>
                    <w:rPr>
                      <w:rFonts w:ascii="宋体" w:hAnsi="宋体"/>
                      <w:color w:val="000000"/>
                      <w:sz w:val="24"/>
                    </w:rPr>
                  </w:pPr>
                  <w:r>
                    <w:rPr>
                      <w:rFonts w:hint="eastAsia" w:ascii="宋体" w:hAnsi="宋体"/>
                      <w:color w:val="000000"/>
                      <w:sz w:val="24"/>
                    </w:rPr>
                    <w:t>4</w:t>
                  </w:r>
                </w:p>
              </w:tc>
              <w:tc>
                <w:tcPr>
                  <w:tcW w:w="6209" w:type="dxa"/>
                  <w:vAlign w:val="center"/>
                </w:tcPr>
                <w:p w14:paraId="636AFB37">
                  <w:pPr>
                    <w:jc w:val="left"/>
                    <w:rPr>
                      <w:rFonts w:hint="eastAsia" w:ascii="宋体" w:hAnsi="宋体"/>
                      <w:color w:val="000000"/>
                      <w:sz w:val="24"/>
                    </w:rPr>
                  </w:pPr>
                  <w:r>
                    <w:rPr>
                      <w:color w:val="000000"/>
                    </w:rPr>
                    <w:t>Effective transport network driven by</w:t>
                  </w:r>
                  <w:r>
                    <w:rPr>
                      <w:rFonts w:hint="eastAsia"/>
                      <w:color w:val="000000"/>
                    </w:rPr>
                    <w:t xml:space="preserve"> </w:t>
                  </w:r>
                  <w:r>
                    <w:rPr>
                      <w:color w:val="000000"/>
                    </w:rPr>
                    <w:t>tortuosity gradient enables high-electrochem-active solid-state batteries</w:t>
                  </w:r>
                  <w:r>
                    <w:rPr>
                      <w:rFonts w:hint="eastAsia"/>
                      <w:color w:val="000000"/>
                    </w:rPr>
                    <w:t xml:space="preserve">, </w:t>
                  </w:r>
                  <w:r>
                    <w:rPr>
                      <w:color w:val="000000"/>
                    </w:rPr>
                    <w:t xml:space="preserve"> National Science Review</w:t>
                  </w:r>
                </w:p>
              </w:tc>
              <w:tc>
                <w:tcPr>
                  <w:tcW w:w="1275" w:type="dxa"/>
                  <w:vAlign w:val="center"/>
                </w:tcPr>
                <w:p w14:paraId="53A9D024">
                  <w:pPr>
                    <w:spacing w:line="360" w:lineRule="auto"/>
                    <w:jc w:val="center"/>
                    <w:rPr>
                      <w:rFonts w:hint="eastAsia" w:ascii="宋体" w:hAnsi="宋体"/>
                      <w:color w:val="000000"/>
                      <w:szCs w:val="21"/>
                    </w:rPr>
                  </w:pPr>
                  <w:r>
                    <w:rPr>
                      <w:rFonts w:hint="eastAsia" w:ascii="宋体" w:hAnsi="宋体"/>
                      <w:color w:val="000000"/>
                      <w:szCs w:val="21"/>
                    </w:rPr>
                    <w:t>2022.11.28</w:t>
                  </w:r>
                </w:p>
              </w:tc>
              <w:tc>
                <w:tcPr>
                  <w:tcW w:w="993" w:type="dxa"/>
                  <w:vAlign w:val="center"/>
                </w:tcPr>
                <w:p w14:paraId="53BC53F3">
                  <w:pPr>
                    <w:spacing w:line="360" w:lineRule="auto"/>
                    <w:jc w:val="center"/>
                    <w:rPr>
                      <w:rFonts w:ascii="宋体" w:hAnsi="宋体"/>
                      <w:color w:val="000000"/>
                      <w:sz w:val="24"/>
                    </w:rPr>
                  </w:pPr>
                  <w:r>
                    <w:rPr>
                      <w:rFonts w:hint="eastAsia" w:ascii="宋体" w:hAnsi="宋体"/>
                      <w:color w:val="000000"/>
                      <w:sz w:val="24"/>
                    </w:rPr>
                    <w:t>是</w:t>
                  </w:r>
                </w:p>
              </w:tc>
              <w:tc>
                <w:tcPr>
                  <w:tcW w:w="992" w:type="dxa"/>
                  <w:vAlign w:val="center"/>
                </w:tcPr>
                <w:p w14:paraId="5AADBB8C">
                  <w:pPr>
                    <w:spacing w:line="360" w:lineRule="auto"/>
                    <w:jc w:val="center"/>
                    <w:rPr>
                      <w:rFonts w:ascii="宋体" w:hAnsi="宋体"/>
                      <w:color w:val="000000"/>
                      <w:sz w:val="24"/>
                    </w:rPr>
                  </w:pPr>
                  <w:r>
                    <w:rPr>
                      <w:rFonts w:hint="eastAsia" w:ascii="宋体" w:hAnsi="宋体"/>
                      <w:color w:val="000000"/>
                      <w:sz w:val="24"/>
                    </w:rPr>
                    <w:t>王家钧</w:t>
                  </w:r>
                </w:p>
              </w:tc>
            </w:tr>
            <w:tr w14:paraId="0818F17E">
              <w:tblPrEx>
                <w:tblLayout w:type="fixed"/>
              </w:tblPrEx>
              <w:trPr>
                <w:trHeight w:val="1021" w:hRule="exact"/>
              </w:trPr>
              <w:tc>
                <w:tcPr>
                  <w:tcW w:w="462" w:type="dxa"/>
                  <w:vAlign w:val="center"/>
                </w:tcPr>
                <w:p w14:paraId="20705E66">
                  <w:pPr>
                    <w:spacing w:line="360" w:lineRule="auto"/>
                    <w:jc w:val="center"/>
                    <w:rPr>
                      <w:rFonts w:ascii="宋体" w:hAnsi="宋体"/>
                      <w:color w:val="000000"/>
                      <w:sz w:val="24"/>
                    </w:rPr>
                  </w:pPr>
                  <w:r>
                    <w:rPr>
                      <w:rFonts w:hint="eastAsia" w:ascii="宋体" w:hAnsi="宋体"/>
                      <w:color w:val="000000"/>
                      <w:sz w:val="24"/>
                    </w:rPr>
                    <w:t>5</w:t>
                  </w:r>
                </w:p>
              </w:tc>
              <w:tc>
                <w:tcPr>
                  <w:tcW w:w="6209" w:type="dxa"/>
                  <w:vAlign w:val="center"/>
                </w:tcPr>
                <w:p w14:paraId="3A68A29F">
                  <w:pPr>
                    <w:jc w:val="left"/>
                    <w:rPr>
                      <w:rFonts w:hint="eastAsia" w:ascii="宋体" w:hAnsi="宋体"/>
                      <w:color w:val="000000"/>
                      <w:sz w:val="24"/>
                    </w:rPr>
                  </w:pPr>
                  <w:r>
                    <w:rPr>
                      <w:color w:val="000000"/>
                    </w:rPr>
                    <w:t>Tailoring electronic-ionic local</w:t>
                  </w:r>
                  <w:r>
                    <w:rPr>
                      <w:rFonts w:hint="eastAsia"/>
                      <w:color w:val="000000"/>
                    </w:rPr>
                    <w:t xml:space="preserve"> </w:t>
                  </w:r>
                  <w:r>
                    <w:rPr>
                      <w:color w:val="000000"/>
                    </w:rPr>
                    <w:t>environment for solid-state Li-</w:t>
                  </w:r>
                  <w:r>
                    <w:rPr>
                      <w:rFonts w:hint="eastAsia"/>
                      <w:color w:val="000000"/>
                    </w:rPr>
                    <w:t>O</w:t>
                  </w:r>
                  <w:r>
                    <w:rPr>
                      <w:color w:val="000000"/>
                    </w:rPr>
                    <w:t>2</w:t>
                  </w:r>
                  <w:r>
                    <w:rPr>
                      <w:rFonts w:hint="eastAsia"/>
                      <w:color w:val="000000"/>
                    </w:rPr>
                    <w:t xml:space="preserve"> </w:t>
                  </w:r>
                  <w:r>
                    <w:rPr>
                      <w:color w:val="000000"/>
                    </w:rPr>
                    <w:t>battery by engineering crystal structure</w:t>
                  </w:r>
                  <w:r>
                    <w:rPr>
                      <w:rFonts w:hint="eastAsia"/>
                      <w:color w:val="000000"/>
                    </w:rPr>
                    <w:t xml:space="preserve">, </w:t>
                  </w:r>
                  <w:r>
                    <w:rPr>
                      <w:color w:val="000000"/>
                    </w:rPr>
                    <w:t>Science Advances</w:t>
                  </w:r>
                </w:p>
              </w:tc>
              <w:tc>
                <w:tcPr>
                  <w:tcW w:w="1275" w:type="dxa"/>
                  <w:vAlign w:val="center"/>
                </w:tcPr>
                <w:p w14:paraId="77BDD654">
                  <w:pPr>
                    <w:spacing w:line="360" w:lineRule="auto"/>
                    <w:jc w:val="center"/>
                    <w:rPr>
                      <w:rFonts w:hint="eastAsia" w:ascii="宋体" w:hAnsi="宋体"/>
                      <w:color w:val="000000"/>
                      <w:szCs w:val="21"/>
                    </w:rPr>
                  </w:pPr>
                  <w:r>
                    <w:rPr>
                      <w:rFonts w:hint="eastAsia" w:ascii="宋体" w:hAnsi="宋体"/>
                      <w:color w:val="000000"/>
                      <w:szCs w:val="21"/>
                    </w:rPr>
                    <w:t>2022.09.02</w:t>
                  </w:r>
                </w:p>
              </w:tc>
              <w:tc>
                <w:tcPr>
                  <w:tcW w:w="993" w:type="dxa"/>
                  <w:vAlign w:val="center"/>
                </w:tcPr>
                <w:p w14:paraId="308ABE22">
                  <w:pPr>
                    <w:spacing w:line="360" w:lineRule="auto"/>
                    <w:jc w:val="center"/>
                    <w:rPr>
                      <w:rFonts w:ascii="宋体" w:hAnsi="宋体"/>
                      <w:color w:val="000000"/>
                      <w:sz w:val="24"/>
                    </w:rPr>
                  </w:pPr>
                  <w:r>
                    <w:rPr>
                      <w:rFonts w:hint="eastAsia" w:ascii="宋体" w:hAnsi="宋体"/>
                      <w:color w:val="000000"/>
                      <w:sz w:val="24"/>
                    </w:rPr>
                    <w:t>是</w:t>
                  </w:r>
                </w:p>
              </w:tc>
              <w:tc>
                <w:tcPr>
                  <w:tcW w:w="992" w:type="dxa"/>
                  <w:vAlign w:val="center"/>
                </w:tcPr>
                <w:p w14:paraId="384E7E65">
                  <w:pPr>
                    <w:spacing w:line="360" w:lineRule="auto"/>
                    <w:jc w:val="center"/>
                    <w:rPr>
                      <w:rFonts w:ascii="宋体" w:hAnsi="宋体"/>
                      <w:color w:val="000000"/>
                      <w:sz w:val="24"/>
                    </w:rPr>
                  </w:pPr>
                  <w:r>
                    <w:rPr>
                      <w:rFonts w:hint="eastAsia" w:ascii="宋体" w:hAnsi="宋体"/>
                      <w:color w:val="000000"/>
                      <w:sz w:val="24"/>
                    </w:rPr>
                    <w:t>王家钧</w:t>
                  </w:r>
                </w:p>
              </w:tc>
            </w:tr>
          </w:tbl>
          <w:p w14:paraId="74F4398F">
            <w:pPr>
              <w:widowControl/>
              <w:spacing w:line="360" w:lineRule="auto"/>
              <w:jc w:val="left"/>
              <w:rPr>
                <w:rFonts w:hint="eastAsia" w:ascii="宋体" w:hAnsi="宋体"/>
                <w:b/>
                <w:bCs/>
                <w:kern w:val="0"/>
                <w:sz w:val="24"/>
              </w:rPr>
            </w:pPr>
          </w:p>
        </w:tc>
      </w:tr>
      <w:tr w14:paraId="02D7697B">
        <w:tblPrEx>
          <w:tblLayout w:type="fixed"/>
        </w:tblPrEx>
        <w:trPr>
          <w:trHeight w:val="319" w:hRule="atLeast"/>
        </w:trPr>
        <w:tc>
          <w:tcPr>
            <w:tcW w:w="10245" w:type="dxa"/>
            <w:gridSpan w:val="2"/>
            <w:vAlign w:val="center"/>
          </w:tcPr>
          <w:p w14:paraId="229B108B">
            <w:pPr>
              <w:widowControl/>
              <w:spacing w:line="360" w:lineRule="auto"/>
              <w:rPr>
                <w:rFonts w:hint="eastAsia" w:ascii="宋体" w:hAnsi="宋体"/>
                <w:kern w:val="0"/>
                <w:sz w:val="24"/>
              </w:rPr>
            </w:pPr>
          </w:p>
        </w:tc>
      </w:tr>
    </w:tbl>
    <w:p w14:paraId="2D69C6F0">
      <w:pPr>
        <w:jc w:val="left"/>
        <w:rPr>
          <w:rFonts w:hint="eastAsia" w:ascii="宋体" w:hAnsi="宋体" w:eastAsia="宋体"/>
          <w:kern w:val="0"/>
          <w:sz w:val="24"/>
          <w:lang w:val="en-US" w:eastAsia="zh-CN"/>
        </w:rPr>
      </w:pPr>
    </w:p>
    <w:p w14:paraId="1B953028">
      <w:pPr>
        <w:ind w:firstLine="261"/>
        <w:jc w:val="left"/>
        <w:rPr>
          <w:rFonts w:hint="default" w:ascii="宋体" w:hAnsi="宋体" w:eastAsia="宋体"/>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方正仿宋_GB18030">
    <w:panose1 w:val="02000000000000000000"/>
    <w:charset w:val="86"/>
    <w:family w:val="auto"/>
    <w:pitch w:val="default"/>
    <w:sig w:usb0="00000000" w:usb1="00000000" w:usb2="00000000" w:usb3="00000000" w:csb0="00040000" w:csb1="00000000"/>
  </w:font>
  <w:font w:name="方正大标宋简体">
    <w:panose1 w:val="02000000000000000000"/>
    <w:charset w:val="86"/>
    <w:family w:val="auto"/>
    <w:pitch w:val="default"/>
    <w:sig w:usb0="00000000" w:usb1="00000000" w:usb2="00000012" w:usb3="00000000" w:csb0="00040001" w:csb1="00000000"/>
  </w:font>
  <w:font w:name="方正公文仿宋">
    <w:panose1 w:val="02000500000000000000"/>
    <w:charset w:val="86"/>
    <w:family w:val="auto"/>
    <w:pitch w:val="default"/>
    <w:sig w:usb0="00000000" w:usb1="00000000" w:usb2="00000016" w:usb3="00000000" w:csb0="00040001" w:csb1="00000000"/>
  </w:font>
  <w:font w:name="方正正黑_GBK">
    <w:panose1 w:val="02000000000000000000"/>
    <w:charset w:val="86"/>
    <w:family w:val="auto"/>
    <w:pitch w:val="default"/>
    <w:sig w:usb0="00000000" w:usb1="00000000" w:usb2="00082016" w:usb3="00000000" w:csb0="00040001" w:csb1="00000000"/>
  </w:font>
  <w:font w:name="方正楷体_GB2312">
    <w:panose1 w:val="02000000000000000000"/>
    <w:charset w:val="86"/>
    <w:family w:val="auto"/>
    <w:pitch w:val="default"/>
    <w:sig w:usb0="00000000" w:usb1="00000000" w:usb2="00000012" w:usb3="00000000" w:csb0="00040001" w:csb1="00000000"/>
  </w:font>
  <w:font w:name="汉仪刚艺体-95简">
    <w:panose1 w:val="00020600040101010101"/>
    <w:charset w:val="86"/>
    <w:family w:val="auto"/>
    <w:pitch w:val="default"/>
    <w:sig w:usb0="00000000" w:usb1="00000000" w:usb2="00000016" w:usb3="00000000" w:csb0="00040000" w:csb1="00000000"/>
  </w:font>
  <w:font w:name="方正小标宋_GBK">
    <w:panose1 w:val="02000000000000000000"/>
    <w:charset w:val="86"/>
    <w:family w:val="auto"/>
    <w:pitch w:val="default"/>
    <w:sig w:usb0="00000000" w:usb1="00000000" w:usb2="00000000" w:usb3="00000000" w:csb0="00040000" w:csb1="00000000"/>
    <w:embedRegular r:id="rId1" w:fontKey="{652461EF-341D-4E91-9B64-AB67C7814A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
    <w:docVar w:name="__Grammarly_42___1" w:val=""/>
  </w:docVar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pPr>
      <w:autoSpaceDE w:val="0"/>
      <w:autoSpaceDN w:val="0"/>
      <w:adjustRightInd w:val="0"/>
      <w:spacing w:line="360" w:lineRule="auto"/>
      <w:ind w:firstLine="480" w:firstLineChars="200"/>
      <w:jc w:val="left"/>
    </w:pPr>
    <w:rPr>
      <w:rFonts w:ascii="仿宋_GB2312" w:eastAsia="宋体" w:cs="宋体" w:hAnsiTheme="minorHAnsi"/>
      <w:sz w:val="24"/>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5"/>
    <w:link w:val="4"/>
    <w:semiHidden/>
    <w:qFormat/>
    <w:uiPriority w:val="99"/>
    <w:rPr>
      <w:sz w:val="18"/>
      <w:szCs w:val="18"/>
    </w:rPr>
  </w:style>
  <w:style w:type="character" w:customStyle="1" w:styleId="8">
    <w:name w:val="页脚 字符"/>
    <w:basedOn w:val="5"/>
    <w:link w:val="3"/>
    <w:semiHidden/>
    <w:qFormat/>
    <w:uiPriority w:val="99"/>
    <w:rPr>
      <w:sz w:val="18"/>
      <w:szCs w:val="18"/>
    </w:rPr>
  </w:style>
  <w:style w:type="character" w:customStyle="1" w:styleId="9">
    <w:name w:val="纯文本 Char"/>
    <w:basedOn w:val="5"/>
    <w:qFormat/>
    <w:uiPriority w:val="0"/>
    <w:rPr>
      <w:rFonts w:ascii="仿宋_GB2312" w:eastAsia="宋体" w:cs="宋体"/>
      <w:sz w:val="24"/>
      <w:szCs w:val="24"/>
    </w:rPr>
  </w:style>
  <w:style w:type="character" w:customStyle="1" w:styleId="10">
    <w:name w:val="纯文本 字符"/>
    <w:basedOn w:val="5"/>
    <w:link w:val="2"/>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474</Words>
  <Characters>1023</Characters>
  <Lines>8</Lines>
  <Paragraphs>2</Paragraphs>
  <TotalTime>0</TotalTime>
  <ScaleCrop>false</ScaleCrop>
  <LinksUpToDate>false</LinksUpToDate>
  <CharactersWithSpaces>1096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2021-09-15T00:19:00Z</dcterms:created>
  <dc:creator>cfbd09fe-9f05-11e5-8127-0021ccb9e835</dc:creator>
  <cp:lastModifiedBy>iPhone</cp:lastModifiedBy>
  <dcterms:modified xsi:type="dcterms:W3CDTF">2025-02-11T22:54:19Z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2052-12.20.1</vt:lpwstr>
  </property>
  <property fmtid="{D5CDD505-2E9C-101B-9397-08002B2CF9AE}" pid="3" name="ICV">
    <vt:lpwstr>30D91E123B9A473A9498D31BC04D6B3F_13</vt:lpwstr>
  </property>
  <property fmtid="{D5CDD505-2E9C-101B-9397-08002B2CF9AE}" pid="4" name="KSOTemplateDocerSaveRecord">
    <vt:lpwstr>eyJoZGlkIjoiNDE4Y2Y4Yjk3NDk4MmQ0NWE0MGM5MWU0ZDNhMmJiZTUiLCJ1c2VySWQiOiIyNTAyMDcyMTEifQ==</vt:lpwstr>
  </property>
</Properties>
</file>